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1BD03" w14:textId="77777777"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14:paraId="3C68DBC5" w14:textId="77777777"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14:paraId="78AC52F8" w14:textId="77777777" w:rsidR="003A1DB8" w:rsidRPr="003A1DB8" w:rsidRDefault="003A1DB8" w:rsidP="003A1DB8">
      <w:pPr>
        <w:jc w:val="center"/>
        <w:rPr>
          <w:rFonts w:ascii="Times New Roman" w:hAnsi="Times New Roman" w:cs="Times New Roman"/>
          <w:b/>
          <w:sz w:val="24"/>
          <w:szCs w:val="24"/>
        </w:rPr>
      </w:pPr>
      <w:r w:rsidRPr="003A1DB8">
        <w:rPr>
          <w:rFonts w:ascii="Times New Roman" w:hAnsi="Times New Roman" w:cs="Times New Roman"/>
          <w:b/>
          <w:sz w:val="24"/>
          <w:szCs w:val="24"/>
        </w:rPr>
        <w:t>OBSERVATORIO DE INVESTIGACIÓN LABORAL DE LA UNIVERSIDAD JUÁREZ DEL ESTADO DE DURANGO</w:t>
      </w:r>
    </w:p>
    <w:p w14:paraId="00A47CEE" w14:textId="77777777" w:rsidR="003A1DB8" w:rsidRPr="009F03F6" w:rsidRDefault="00275469" w:rsidP="003A1DB8">
      <w:pPr>
        <w:autoSpaceDE w:val="0"/>
        <w:autoSpaceDN w:val="0"/>
        <w:adjustRightInd w:val="0"/>
        <w:jc w:val="center"/>
        <w:rPr>
          <w:rFonts w:ascii="Times New Roman" w:eastAsia="Times New Roman" w:hAnsi="Times New Roman" w:cs="Times New Roman"/>
          <w:sz w:val="24"/>
          <w:szCs w:val="24"/>
          <w:lang w:val="es-ES_tradnl" w:eastAsia="es-MX"/>
        </w:rPr>
      </w:pPr>
      <w:r w:rsidRPr="00892BD9">
        <w:rPr>
          <w:rFonts w:ascii="Times New Roman" w:hAnsi="Times New Roman" w:cs="Times New Roman"/>
          <w:sz w:val="24"/>
          <w:szCs w:val="24"/>
          <w:lang w:val="es-MX"/>
        </w:rPr>
        <w:t xml:space="preserve"> </w:t>
      </w:r>
      <w:r w:rsidR="003A1DB8" w:rsidRPr="003A1DB8">
        <w:rPr>
          <w:rFonts w:ascii="Times New Roman" w:eastAsia="Times New Roman" w:hAnsi="Times New Roman" w:cs="Times New Roman"/>
          <w:sz w:val="24"/>
          <w:szCs w:val="24"/>
          <w:lang w:val="es-ES_tradnl" w:eastAsia="es-MX"/>
        </w:rPr>
        <w:t>Alicia López Betancourt</w:t>
      </w:r>
      <w:r w:rsidR="003A1DB8">
        <w:rPr>
          <w:rFonts w:ascii="Times New Roman" w:eastAsia="Times New Roman" w:hAnsi="Times New Roman" w:cs="Times New Roman"/>
          <w:sz w:val="24"/>
          <w:szCs w:val="24"/>
          <w:vertAlign w:val="superscript"/>
          <w:lang w:val="es-ES_tradnl" w:eastAsia="es-MX"/>
        </w:rPr>
        <w:t>1</w:t>
      </w:r>
      <w:r w:rsidR="00D37917">
        <w:rPr>
          <w:rFonts w:ascii="Times New Roman" w:eastAsia="Times New Roman" w:hAnsi="Times New Roman" w:cs="Times New Roman"/>
          <w:sz w:val="24"/>
          <w:szCs w:val="24"/>
          <w:lang w:val="es-ES_tradnl" w:eastAsia="es-MX"/>
        </w:rPr>
        <w:t>, María del Carmen</w:t>
      </w:r>
      <w:r w:rsidR="003A1DB8">
        <w:rPr>
          <w:rFonts w:ascii="Times New Roman" w:eastAsia="Times New Roman" w:hAnsi="Times New Roman" w:cs="Times New Roman"/>
          <w:sz w:val="24"/>
          <w:szCs w:val="24"/>
          <w:lang w:val="es-ES_tradnl" w:eastAsia="es-MX"/>
        </w:rPr>
        <w:t xml:space="preserve"> </w:t>
      </w:r>
      <w:proofErr w:type="spellStart"/>
      <w:r w:rsidR="003A1DB8" w:rsidRPr="003A1DB8">
        <w:rPr>
          <w:rFonts w:ascii="Times New Roman" w:eastAsia="Times New Roman" w:hAnsi="Times New Roman" w:cs="Times New Roman"/>
          <w:sz w:val="24"/>
          <w:szCs w:val="24"/>
          <w:lang w:val="es-ES_tradnl" w:eastAsia="es-MX"/>
        </w:rPr>
        <w:t>Orrante</w:t>
      </w:r>
      <w:proofErr w:type="spellEnd"/>
      <w:r w:rsidR="003A1DB8">
        <w:rPr>
          <w:rFonts w:ascii="Times New Roman" w:eastAsia="Times New Roman" w:hAnsi="Times New Roman" w:cs="Times New Roman"/>
          <w:sz w:val="24"/>
          <w:szCs w:val="24"/>
          <w:lang w:val="es-ES_tradnl" w:eastAsia="es-MX"/>
        </w:rPr>
        <w:t xml:space="preserve"> Reyes</w:t>
      </w:r>
      <w:r w:rsidR="003A1DB8">
        <w:rPr>
          <w:rFonts w:ascii="Times New Roman" w:eastAsia="Times New Roman" w:hAnsi="Times New Roman" w:cs="Times New Roman"/>
          <w:sz w:val="24"/>
          <w:szCs w:val="24"/>
          <w:vertAlign w:val="superscript"/>
          <w:lang w:val="es-ES_tradnl" w:eastAsia="es-MX"/>
        </w:rPr>
        <w:t>1</w:t>
      </w:r>
      <w:r w:rsidR="00D37917">
        <w:rPr>
          <w:rFonts w:ascii="Times New Roman" w:eastAsia="Times New Roman" w:hAnsi="Times New Roman" w:cs="Times New Roman"/>
          <w:sz w:val="24"/>
          <w:szCs w:val="24"/>
          <w:lang w:val="es-ES_tradnl" w:eastAsia="es-MX"/>
        </w:rPr>
        <w:t xml:space="preserve">, </w:t>
      </w:r>
      <w:r w:rsidR="003A1DB8" w:rsidRPr="003A1DB8">
        <w:rPr>
          <w:rFonts w:ascii="Times New Roman" w:eastAsia="Times New Roman" w:hAnsi="Times New Roman" w:cs="Times New Roman"/>
          <w:sz w:val="24"/>
          <w:szCs w:val="24"/>
          <w:lang w:val="es-ES_tradnl" w:eastAsia="es-MX"/>
        </w:rPr>
        <w:t xml:space="preserve">Karla </w:t>
      </w:r>
      <w:r w:rsidR="00D37917">
        <w:rPr>
          <w:rFonts w:ascii="Times New Roman" w:eastAsia="Times New Roman" w:hAnsi="Times New Roman" w:cs="Times New Roman"/>
          <w:sz w:val="24"/>
          <w:szCs w:val="24"/>
          <w:lang w:val="es-ES_tradnl" w:eastAsia="es-MX"/>
        </w:rPr>
        <w:t xml:space="preserve">Olimpia </w:t>
      </w:r>
      <w:proofErr w:type="spellStart"/>
      <w:r w:rsidR="003A1DB8" w:rsidRPr="003A1DB8">
        <w:rPr>
          <w:rFonts w:ascii="Times New Roman" w:eastAsia="Times New Roman" w:hAnsi="Times New Roman" w:cs="Times New Roman"/>
          <w:sz w:val="24"/>
          <w:szCs w:val="24"/>
          <w:lang w:val="es-ES_tradnl" w:eastAsia="es-MX"/>
        </w:rPr>
        <w:t>Luévano</w:t>
      </w:r>
      <w:proofErr w:type="spellEnd"/>
      <w:r w:rsidR="003A1DB8" w:rsidRPr="003A1DB8">
        <w:rPr>
          <w:rFonts w:ascii="Times New Roman" w:eastAsia="Times New Roman" w:hAnsi="Times New Roman" w:cs="Times New Roman"/>
          <w:sz w:val="24"/>
          <w:szCs w:val="24"/>
          <w:lang w:val="es-ES_tradnl" w:eastAsia="es-MX"/>
        </w:rPr>
        <w:t xml:space="preserve"> de la Cruz</w:t>
      </w:r>
      <w:r w:rsidR="003A1DB8">
        <w:rPr>
          <w:rFonts w:ascii="Times New Roman" w:eastAsia="Times New Roman" w:hAnsi="Times New Roman" w:cs="Times New Roman"/>
          <w:sz w:val="24"/>
          <w:szCs w:val="24"/>
          <w:vertAlign w:val="superscript"/>
          <w:lang w:val="es-ES_tradnl" w:eastAsia="es-MX"/>
        </w:rPr>
        <w:t>1</w:t>
      </w:r>
      <w:r w:rsidR="009F03F6">
        <w:rPr>
          <w:rFonts w:ascii="Times New Roman" w:eastAsia="Times New Roman" w:hAnsi="Times New Roman" w:cs="Times New Roman"/>
          <w:sz w:val="24"/>
          <w:szCs w:val="24"/>
          <w:lang w:val="es-ES_tradnl" w:eastAsia="es-MX"/>
        </w:rPr>
        <w:t xml:space="preserve">, </w:t>
      </w:r>
      <w:r w:rsidR="009F03F6" w:rsidRPr="003A1DB8">
        <w:rPr>
          <w:rFonts w:ascii="Times New Roman" w:eastAsia="Times New Roman" w:hAnsi="Times New Roman" w:cs="Times New Roman"/>
          <w:sz w:val="24"/>
          <w:szCs w:val="24"/>
          <w:lang w:val="es-ES_tradnl" w:eastAsia="es-MX"/>
        </w:rPr>
        <w:t xml:space="preserve">Oscar </w:t>
      </w:r>
      <w:r w:rsidR="009F03F6">
        <w:rPr>
          <w:rFonts w:ascii="Times New Roman" w:eastAsia="Times New Roman" w:hAnsi="Times New Roman" w:cs="Times New Roman"/>
          <w:sz w:val="24"/>
          <w:szCs w:val="24"/>
          <w:lang w:val="es-ES_tradnl" w:eastAsia="es-MX"/>
        </w:rPr>
        <w:t xml:space="preserve">Iván </w:t>
      </w:r>
      <w:r w:rsidR="009F03F6" w:rsidRPr="003A1DB8">
        <w:rPr>
          <w:rFonts w:ascii="Times New Roman" w:eastAsia="Times New Roman" w:hAnsi="Times New Roman" w:cs="Times New Roman"/>
          <w:sz w:val="24"/>
          <w:szCs w:val="24"/>
          <w:lang w:val="es-ES_tradnl" w:eastAsia="es-MX"/>
        </w:rPr>
        <w:t>Ocaña Aguilar</w:t>
      </w:r>
      <w:r w:rsidR="009F03F6">
        <w:rPr>
          <w:rFonts w:ascii="Times New Roman" w:eastAsia="Times New Roman" w:hAnsi="Times New Roman" w:cs="Times New Roman"/>
          <w:sz w:val="24"/>
          <w:szCs w:val="24"/>
          <w:vertAlign w:val="superscript"/>
          <w:lang w:val="es-ES_tradnl" w:eastAsia="es-MX"/>
        </w:rPr>
        <w:t>1</w:t>
      </w:r>
      <w:r w:rsidR="009F03F6" w:rsidRPr="003A1DB8">
        <w:rPr>
          <w:rFonts w:ascii="Times New Roman" w:eastAsia="Times New Roman" w:hAnsi="Times New Roman" w:cs="Times New Roman"/>
          <w:sz w:val="24"/>
          <w:szCs w:val="24"/>
          <w:lang w:val="es-ES_tradnl" w:eastAsia="es-MX"/>
        </w:rPr>
        <w:t>,</w:t>
      </w:r>
    </w:p>
    <w:p w14:paraId="6992D5FE" w14:textId="77777777" w:rsidR="00892BD9" w:rsidRPr="00892BD9" w:rsidRDefault="003A1DB8" w:rsidP="00892BD9">
      <w:pPr>
        <w:jc w:val="center"/>
        <w:rPr>
          <w:rFonts w:ascii="Times New Roman" w:hAnsi="Times New Roman" w:cs="Times New Roman"/>
          <w:i/>
          <w:sz w:val="24"/>
          <w:szCs w:val="24"/>
          <w:lang w:val="es-MX"/>
        </w:rPr>
      </w:pPr>
      <w:r>
        <w:rPr>
          <w:rFonts w:ascii="Times New Roman" w:hAnsi="Times New Roman" w:cs="Times New Roman"/>
          <w:i/>
          <w:sz w:val="24"/>
          <w:szCs w:val="24"/>
          <w:lang w:val="es-MX"/>
        </w:rPr>
        <w:t>1. Universidad Juárez del Estado de Durango</w:t>
      </w:r>
    </w:p>
    <w:p w14:paraId="2D1A5684" w14:textId="77777777"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14:paraId="7C3651EF" w14:textId="77777777" w:rsidR="002A7BAE" w:rsidRPr="004633B0" w:rsidRDefault="002A7BAE" w:rsidP="002A7BAE">
      <w:pPr>
        <w:spacing w:line="360" w:lineRule="auto"/>
        <w:jc w:val="both"/>
        <w:rPr>
          <w:rStyle w:val="Ttulo2Car"/>
          <w:rFonts w:ascii="Times New Roman" w:eastAsiaTheme="minorHAnsi" w:hAnsi="Times New Roman" w:cs="Times New Roman"/>
          <w:b w:val="0"/>
          <w:bCs w:val="0"/>
          <w:color w:val="auto"/>
          <w:sz w:val="24"/>
          <w:szCs w:val="24"/>
          <w:lang w:val="es-ES_tradnl"/>
        </w:rPr>
      </w:pPr>
      <w:r>
        <w:rPr>
          <w:rFonts w:ascii="Times New Roman" w:hAnsi="Times New Roman" w:cs="Times New Roman"/>
          <w:sz w:val="24"/>
          <w:szCs w:val="24"/>
          <w:lang w:val="es-MX"/>
        </w:rPr>
        <w:t xml:space="preserve">El presente documento tiene como objetivo difundir los avances del </w:t>
      </w:r>
      <w:r>
        <w:rPr>
          <w:rFonts w:ascii="Times New Roman" w:hAnsi="Times New Roman" w:cs="Times New Roman"/>
          <w:lang w:val="es-ES_tradnl"/>
        </w:rPr>
        <w:t xml:space="preserve">proyecto </w:t>
      </w:r>
      <w:r w:rsidRPr="003A1DB8">
        <w:rPr>
          <w:rFonts w:ascii="Times New Roman" w:hAnsi="Times New Roman" w:cs="Times New Roman"/>
          <w:lang w:val="es-ES_tradnl"/>
        </w:rPr>
        <w:t xml:space="preserve">Observatorio de Investigación Laboral (OIL) </w:t>
      </w:r>
      <w:r>
        <w:rPr>
          <w:rFonts w:ascii="Times New Roman" w:hAnsi="Times New Roman" w:cs="Times New Roman"/>
          <w:lang w:val="es-ES_tradnl"/>
        </w:rPr>
        <w:t>de la UJED</w:t>
      </w:r>
      <w:r w:rsidR="00871918">
        <w:rPr>
          <w:rFonts w:ascii="Times New Roman" w:hAnsi="Times New Roman" w:cs="Times New Roman"/>
          <w:lang w:val="es-ES_tradnl"/>
        </w:rPr>
        <w:t xml:space="preserve"> aprobado por PFCE  realizado en las cabeceras municipales de Santiago Papasquiaro, Tepehuanes y Santa María del Oro del Estado de Durango. Se diseñaron y aplicaron tres instrumentos para conocer las expectativas educativas de los estudiantes, la situación económica de sus familias y el panorama laboral de las localidades. Lo anterior </w:t>
      </w:r>
      <w:r>
        <w:rPr>
          <w:rFonts w:ascii="Times New Roman" w:hAnsi="Times New Roman" w:cs="Times New Roman"/>
          <w:lang w:val="es-ES_tradnl"/>
        </w:rPr>
        <w:t>fundamenta</w:t>
      </w:r>
      <w:r w:rsidR="00871918">
        <w:rPr>
          <w:rFonts w:ascii="Times New Roman" w:hAnsi="Times New Roman" w:cs="Times New Roman"/>
          <w:lang w:val="es-ES_tradnl"/>
        </w:rPr>
        <w:t xml:space="preserve">do bajo la perspectiva del capital humano </w:t>
      </w:r>
      <w:r>
        <w:rPr>
          <w:rFonts w:ascii="Times New Roman" w:hAnsi="Times New Roman" w:cs="Times New Roman"/>
          <w:lang w:val="es-ES_tradnl"/>
        </w:rPr>
        <w:t xml:space="preserve"> </w:t>
      </w:r>
      <w:r w:rsidR="00B21964">
        <w:rPr>
          <w:rFonts w:ascii="Times New Roman" w:hAnsi="Times New Roman" w:cs="Times New Roman"/>
          <w:lang w:val="es-ES_tradnl"/>
        </w:rPr>
        <w:t xml:space="preserve">resaltando </w:t>
      </w:r>
      <w:r w:rsidR="00871918">
        <w:rPr>
          <w:rFonts w:ascii="Times New Roman" w:hAnsi="Times New Roman" w:cs="Times New Roman"/>
          <w:lang w:val="es-ES_tradnl"/>
        </w:rPr>
        <w:t xml:space="preserve">la importancia del </w:t>
      </w:r>
      <w:r>
        <w:rPr>
          <w:rFonts w:ascii="Times New Roman" w:hAnsi="Times New Roman" w:cs="Times New Roman"/>
          <w:lang w:val="es-ES_tradnl"/>
        </w:rPr>
        <w:t>aspecto social</w:t>
      </w:r>
      <w:r w:rsidR="00871918">
        <w:rPr>
          <w:rFonts w:ascii="Times New Roman" w:hAnsi="Times New Roman" w:cs="Times New Roman"/>
          <w:lang w:val="es-ES_tradnl"/>
        </w:rPr>
        <w:t xml:space="preserve"> en la formación de los estudiantes</w:t>
      </w:r>
      <w:r>
        <w:rPr>
          <w:rFonts w:ascii="Times New Roman" w:hAnsi="Times New Roman" w:cs="Times New Roman"/>
          <w:lang w:val="es-ES_tradnl"/>
        </w:rPr>
        <w:t xml:space="preserve">. </w:t>
      </w:r>
      <w:r w:rsidR="00871918">
        <w:rPr>
          <w:rFonts w:ascii="Times New Roman" w:hAnsi="Times New Roman" w:cs="Times New Roman"/>
          <w:lang w:val="es-ES_tradnl"/>
        </w:rPr>
        <w:t>La</w:t>
      </w:r>
      <w:r>
        <w:rPr>
          <w:rFonts w:ascii="Times New Roman" w:hAnsi="Times New Roman" w:cs="Times New Roman"/>
          <w:lang w:val="es-ES_tradnl"/>
        </w:rPr>
        <w:t xml:space="preserve"> metodología </w:t>
      </w:r>
      <w:r w:rsidR="00871918">
        <w:rPr>
          <w:rFonts w:ascii="Times New Roman" w:hAnsi="Times New Roman" w:cs="Times New Roman"/>
          <w:lang w:val="es-ES_tradnl"/>
        </w:rPr>
        <w:t xml:space="preserve">del proyecto fue mixta. Se cuenta con las bases de datos y se muestran algunos datos descriptivos. Con los resultados obtenidos permitirán </w:t>
      </w:r>
      <w:r w:rsidRPr="004633B0">
        <w:rPr>
          <w:rFonts w:ascii="Times New Roman" w:hAnsi="Times New Roman" w:cs="Times New Roman"/>
          <w:sz w:val="24"/>
          <w:szCs w:val="24"/>
          <w:lang w:val="es-ES_tradnl"/>
        </w:rPr>
        <w:t>indagar la posibilidad y factibilidad de nueva</w:t>
      </w:r>
      <w:r>
        <w:rPr>
          <w:rFonts w:ascii="Times New Roman" w:hAnsi="Times New Roman" w:cs="Times New Roman"/>
          <w:sz w:val="24"/>
          <w:szCs w:val="24"/>
          <w:lang w:val="es-ES_tradnl"/>
        </w:rPr>
        <w:t>s</w:t>
      </w:r>
      <w:r w:rsidRPr="004633B0">
        <w:rPr>
          <w:rFonts w:ascii="Times New Roman" w:hAnsi="Times New Roman" w:cs="Times New Roman"/>
          <w:sz w:val="24"/>
          <w:szCs w:val="24"/>
          <w:lang w:val="es-ES_tradnl"/>
        </w:rPr>
        <w:t xml:space="preserve"> oferta</w:t>
      </w:r>
      <w:r>
        <w:rPr>
          <w:rFonts w:ascii="Times New Roman" w:hAnsi="Times New Roman" w:cs="Times New Roman"/>
          <w:sz w:val="24"/>
          <w:szCs w:val="24"/>
          <w:lang w:val="es-ES_tradnl"/>
        </w:rPr>
        <w:t>s</w:t>
      </w:r>
      <w:r w:rsidRPr="004633B0">
        <w:rPr>
          <w:rFonts w:ascii="Times New Roman" w:hAnsi="Times New Roman" w:cs="Times New Roman"/>
          <w:sz w:val="24"/>
          <w:szCs w:val="24"/>
          <w:lang w:val="es-ES_tradnl"/>
        </w:rPr>
        <w:t xml:space="preserve"> educativa</w:t>
      </w:r>
      <w:r>
        <w:rPr>
          <w:rFonts w:ascii="Times New Roman" w:hAnsi="Times New Roman" w:cs="Times New Roman"/>
          <w:sz w:val="24"/>
          <w:szCs w:val="24"/>
          <w:lang w:val="es-ES_tradnl"/>
        </w:rPr>
        <w:t>s que r</w:t>
      </w:r>
      <w:r w:rsidRPr="004633B0">
        <w:rPr>
          <w:rFonts w:ascii="Times New Roman" w:hAnsi="Times New Roman" w:cs="Times New Roman"/>
          <w:sz w:val="24"/>
          <w:szCs w:val="24"/>
          <w:lang w:val="es-ES_tradnl"/>
        </w:rPr>
        <w:t>esponda</w:t>
      </w:r>
      <w:r>
        <w:rPr>
          <w:rFonts w:ascii="Times New Roman" w:hAnsi="Times New Roman" w:cs="Times New Roman"/>
          <w:sz w:val="24"/>
          <w:szCs w:val="24"/>
          <w:lang w:val="es-ES_tradnl"/>
        </w:rPr>
        <w:t>n</w:t>
      </w:r>
      <w:r w:rsidRPr="004633B0">
        <w:rPr>
          <w:rFonts w:ascii="Times New Roman" w:hAnsi="Times New Roman" w:cs="Times New Roman"/>
          <w:sz w:val="24"/>
          <w:szCs w:val="24"/>
          <w:lang w:val="es-ES_tradnl"/>
        </w:rPr>
        <w:t xml:space="preserve"> a </w:t>
      </w:r>
      <w:r>
        <w:rPr>
          <w:rFonts w:ascii="Times New Roman" w:hAnsi="Times New Roman" w:cs="Times New Roman"/>
          <w:sz w:val="24"/>
          <w:szCs w:val="24"/>
          <w:lang w:val="es-ES_tradnl"/>
        </w:rPr>
        <w:t xml:space="preserve">los </w:t>
      </w:r>
      <w:r w:rsidRPr="004633B0">
        <w:rPr>
          <w:rFonts w:ascii="Times New Roman" w:hAnsi="Times New Roman" w:cs="Times New Roman"/>
          <w:sz w:val="24"/>
          <w:szCs w:val="24"/>
          <w:lang w:val="es-ES_tradnl"/>
        </w:rPr>
        <w:t xml:space="preserve">contextos </w:t>
      </w:r>
      <w:r>
        <w:rPr>
          <w:rFonts w:ascii="Times New Roman" w:hAnsi="Times New Roman" w:cs="Times New Roman"/>
          <w:sz w:val="24"/>
          <w:szCs w:val="24"/>
          <w:lang w:val="es-ES_tradnl"/>
        </w:rPr>
        <w:t xml:space="preserve">particulares </w:t>
      </w:r>
      <w:r w:rsidRPr="004633B0">
        <w:rPr>
          <w:rFonts w:ascii="Times New Roman" w:hAnsi="Times New Roman" w:cs="Times New Roman"/>
          <w:sz w:val="24"/>
          <w:szCs w:val="24"/>
          <w:lang w:val="es-ES_tradnl"/>
        </w:rPr>
        <w:t>de los municipios de</w:t>
      </w:r>
      <w:r>
        <w:rPr>
          <w:rFonts w:ascii="Times New Roman" w:hAnsi="Times New Roman" w:cs="Times New Roman"/>
          <w:sz w:val="24"/>
          <w:szCs w:val="24"/>
          <w:lang w:val="es-ES_tradnl"/>
        </w:rPr>
        <w:t xml:space="preserve">l estado de </w:t>
      </w:r>
      <w:r w:rsidRPr="004633B0">
        <w:rPr>
          <w:rFonts w:ascii="Times New Roman" w:hAnsi="Times New Roman" w:cs="Times New Roman"/>
          <w:sz w:val="24"/>
          <w:szCs w:val="24"/>
          <w:lang w:val="es-ES_tradnl"/>
        </w:rPr>
        <w:t xml:space="preserve"> Durango y </w:t>
      </w:r>
      <w:r>
        <w:rPr>
          <w:rFonts w:ascii="Times New Roman" w:hAnsi="Times New Roman" w:cs="Times New Roman"/>
          <w:sz w:val="24"/>
          <w:szCs w:val="24"/>
          <w:lang w:val="es-ES_tradnl"/>
        </w:rPr>
        <w:t xml:space="preserve">de manera simultánea garantizar la </w:t>
      </w:r>
      <w:r w:rsidRPr="004633B0">
        <w:rPr>
          <w:rFonts w:ascii="Times New Roman" w:hAnsi="Times New Roman" w:cs="Times New Roman"/>
          <w:sz w:val="24"/>
          <w:szCs w:val="24"/>
          <w:lang w:val="es-ES_tradnl"/>
        </w:rPr>
        <w:t>calidad</w:t>
      </w:r>
      <w:r>
        <w:rPr>
          <w:rFonts w:ascii="Times New Roman" w:hAnsi="Times New Roman" w:cs="Times New Roman"/>
          <w:sz w:val="24"/>
          <w:szCs w:val="24"/>
          <w:lang w:val="es-ES_tradnl"/>
        </w:rPr>
        <w:t>,</w:t>
      </w:r>
      <w:r w:rsidRPr="004633B0">
        <w:rPr>
          <w:rFonts w:ascii="Times New Roman" w:hAnsi="Times New Roman" w:cs="Times New Roman"/>
          <w:sz w:val="24"/>
          <w:szCs w:val="24"/>
          <w:lang w:val="es-ES_tradnl"/>
        </w:rPr>
        <w:t xml:space="preserve"> para que los egresados enfrenten </w:t>
      </w:r>
      <w:r>
        <w:rPr>
          <w:rFonts w:ascii="Times New Roman" w:hAnsi="Times New Roman" w:cs="Times New Roman"/>
          <w:sz w:val="24"/>
          <w:szCs w:val="24"/>
          <w:lang w:val="es-ES_tradnl"/>
        </w:rPr>
        <w:t>al mercado laboral con herramientas adecuadas a su entorno</w:t>
      </w:r>
      <w:r w:rsidRPr="004633B0">
        <w:rPr>
          <w:rFonts w:ascii="Times New Roman" w:hAnsi="Times New Roman" w:cs="Times New Roman"/>
          <w:sz w:val="24"/>
          <w:szCs w:val="24"/>
          <w:lang w:val="es-ES_tradnl"/>
        </w:rPr>
        <w:t xml:space="preserve"> </w:t>
      </w:r>
    </w:p>
    <w:p w14:paraId="0A81F867" w14:textId="77777777" w:rsidR="00275469" w:rsidRPr="002A7BAE" w:rsidRDefault="00275469" w:rsidP="00160CC9">
      <w:pPr>
        <w:jc w:val="both"/>
        <w:rPr>
          <w:rFonts w:ascii="Times New Roman" w:hAnsi="Times New Roman" w:cs="Times New Roman"/>
          <w:sz w:val="24"/>
          <w:szCs w:val="24"/>
          <w:lang w:val="es-ES_tradnl"/>
        </w:rPr>
      </w:pPr>
    </w:p>
    <w:p w14:paraId="1A572932" w14:textId="77777777" w:rsidR="00275469" w:rsidRDefault="00B21964" w:rsidP="00275469">
      <w:pPr>
        <w:jc w:val="both"/>
        <w:rPr>
          <w:rFonts w:ascii="Times New Roman" w:hAnsi="Times New Roman" w:cs="Times New Roman"/>
          <w:sz w:val="24"/>
          <w:szCs w:val="24"/>
          <w:lang w:val="es-MX"/>
        </w:rPr>
      </w:pPr>
      <w:r>
        <w:rPr>
          <w:rFonts w:ascii="Times New Roman" w:hAnsi="Times New Roman" w:cs="Times New Roman"/>
          <w:sz w:val="24"/>
          <w:szCs w:val="24"/>
          <w:lang w:val="es-MX"/>
        </w:rPr>
        <w:t>Palabras clave: observatorio laboral; oferta educativa</w:t>
      </w:r>
      <w:r w:rsidR="00275469" w:rsidRPr="00FF29AE">
        <w:rPr>
          <w:rFonts w:ascii="Times New Roman" w:hAnsi="Times New Roman" w:cs="Times New Roman"/>
          <w:sz w:val="24"/>
          <w:szCs w:val="24"/>
          <w:lang w:val="es-MX"/>
        </w:rPr>
        <w:t xml:space="preserve">; </w:t>
      </w:r>
      <w:r>
        <w:rPr>
          <w:rFonts w:ascii="Times New Roman" w:hAnsi="Times New Roman" w:cs="Times New Roman"/>
          <w:sz w:val="24"/>
          <w:szCs w:val="24"/>
          <w:lang w:val="es-MX"/>
        </w:rPr>
        <w:t>estudiantes</w:t>
      </w:r>
      <w:r w:rsidR="00275469" w:rsidRPr="00FF29AE">
        <w:rPr>
          <w:rFonts w:ascii="Times New Roman" w:hAnsi="Times New Roman" w:cs="Times New Roman"/>
          <w:sz w:val="24"/>
          <w:szCs w:val="24"/>
          <w:lang w:val="es-MX"/>
        </w:rPr>
        <w:t xml:space="preserve">; </w:t>
      </w:r>
      <w:r>
        <w:rPr>
          <w:rFonts w:ascii="Times New Roman" w:hAnsi="Times New Roman" w:cs="Times New Roman"/>
          <w:sz w:val="24"/>
          <w:szCs w:val="24"/>
          <w:lang w:val="es-MX"/>
        </w:rPr>
        <w:t>empleadores</w:t>
      </w:r>
    </w:p>
    <w:p w14:paraId="0577E90E" w14:textId="77777777" w:rsidR="00B93001" w:rsidRDefault="00B93001" w:rsidP="009039B5">
      <w:pPr>
        <w:jc w:val="both"/>
        <w:rPr>
          <w:rStyle w:val="Ttulo1Car"/>
          <w:rFonts w:ascii="Times New Roman" w:hAnsi="Times New Roman" w:cs="Times New Roman"/>
          <w:color w:val="auto"/>
          <w:sz w:val="24"/>
          <w:szCs w:val="24"/>
        </w:rPr>
      </w:pPr>
    </w:p>
    <w:p w14:paraId="57C41C04" w14:textId="77777777" w:rsidR="00303D0A" w:rsidRPr="009039B5" w:rsidRDefault="00283FA0" w:rsidP="009039B5">
      <w:pPr>
        <w:jc w:val="both"/>
        <w:rPr>
          <w:rFonts w:ascii="Times New Roman" w:hAnsi="Times New Roman" w:cs="Times New Roman"/>
          <w:b/>
          <w:sz w:val="24"/>
          <w:szCs w:val="24"/>
          <w:lang w:val="es-MX"/>
        </w:rPr>
      </w:pPr>
      <w:r w:rsidRPr="00652DEA">
        <w:rPr>
          <w:rStyle w:val="Ttulo1Car"/>
          <w:rFonts w:ascii="Times New Roman" w:hAnsi="Times New Roman" w:cs="Times New Roman"/>
          <w:color w:val="auto"/>
          <w:sz w:val="24"/>
          <w:szCs w:val="24"/>
        </w:rPr>
        <w:t xml:space="preserve">I. </w:t>
      </w:r>
      <w:r w:rsidR="009039B5" w:rsidRPr="00652DEA">
        <w:rPr>
          <w:rStyle w:val="Ttulo1Car"/>
          <w:rFonts w:ascii="Times New Roman" w:hAnsi="Times New Roman" w:cs="Times New Roman"/>
          <w:color w:val="auto"/>
          <w:sz w:val="24"/>
          <w:szCs w:val="24"/>
        </w:rPr>
        <w:t>I</w:t>
      </w:r>
      <w:r w:rsidR="009039B5" w:rsidRPr="009039B5">
        <w:rPr>
          <w:rStyle w:val="Ttulo1Car"/>
          <w:rFonts w:ascii="Times New Roman" w:hAnsi="Times New Roman" w:cs="Times New Roman"/>
          <w:color w:val="auto"/>
          <w:sz w:val="22"/>
          <w:szCs w:val="24"/>
        </w:rPr>
        <w:t>NTRODUCCIÓN</w:t>
      </w:r>
      <w:r w:rsidR="009039B5" w:rsidRPr="009039B5">
        <w:rPr>
          <w:rStyle w:val="Ttulo1Car"/>
          <w:rFonts w:ascii="Times New Roman" w:hAnsi="Times New Roman" w:cs="Times New Roman"/>
          <w:b w:val="0"/>
          <w:color w:val="auto"/>
          <w:sz w:val="22"/>
          <w:szCs w:val="24"/>
        </w:rPr>
        <w:t xml:space="preserve"> </w:t>
      </w:r>
      <w:r w:rsidR="00303D0A" w:rsidRPr="009039B5">
        <w:rPr>
          <w:rFonts w:ascii="Times New Roman" w:hAnsi="Times New Roman" w:cs="Times New Roman"/>
          <w:b/>
          <w:szCs w:val="24"/>
          <w:lang w:val="es-MX"/>
        </w:rPr>
        <w:t xml:space="preserve"> </w:t>
      </w:r>
    </w:p>
    <w:p w14:paraId="1B4C38F9" w14:textId="77777777" w:rsidR="00B01A85" w:rsidRDefault="003A1DB8" w:rsidP="00B01A85">
      <w:pPr>
        <w:autoSpaceDE w:val="0"/>
        <w:autoSpaceDN w:val="0"/>
        <w:adjustRightInd w:val="0"/>
        <w:spacing w:after="240" w:line="360" w:lineRule="auto"/>
        <w:jc w:val="both"/>
        <w:rPr>
          <w:rFonts w:ascii="Times New Roman" w:hAnsi="Times New Roman" w:cs="Times New Roman"/>
          <w:lang w:val="es-ES_tradnl"/>
        </w:rPr>
      </w:pPr>
      <w:r w:rsidRPr="003A1DB8">
        <w:rPr>
          <w:rFonts w:ascii="Times New Roman" w:hAnsi="Times New Roman" w:cs="Times New Roman"/>
          <w:lang w:val="es-ES_tradnl"/>
        </w:rPr>
        <w:t xml:space="preserve">Este trabajo tiene como propósito reflexionar en la importancia del </w:t>
      </w:r>
      <w:r w:rsidR="00D92BA5">
        <w:rPr>
          <w:rFonts w:ascii="Times New Roman" w:hAnsi="Times New Roman" w:cs="Times New Roman"/>
          <w:lang w:val="es-ES_tradnl"/>
        </w:rPr>
        <w:t xml:space="preserve">proyecto </w:t>
      </w:r>
      <w:r w:rsidRPr="003A1DB8">
        <w:rPr>
          <w:rFonts w:ascii="Times New Roman" w:hAnsi="Times New Roman" w:cs="Times New Roman"/>
          <w:lang w:val="es-ES_tradnl"/>
        </w:rPr>
        <w:t xml:space="preserve">Observatorio de Investigación Laboral (OIL) </w:t>
      </w:r>
      <w:r w:rsidR="00D92BA5">
        <w:rPr>
          <w:rFonts w:ascii="Times New Roman" w:hAnsi="Times New Roman" w:cs="Times New Roman"/>
          <w:lang w:val="es-ES_tradnl"/>
        </w:rPr>
        <w:t xml:space="preserve">de la UJED; </w:t>
      </w:r>
      <w:r w:rsidRPr="003A1DB8">
        <w:rPr>
          <w:rFonts w:ascii="Times New Roman" w:hAnsi="Times New Roman" w:cs="Times New Roman"/>
          <w:lang w:val="es-ES_tradnl"/>
        </w:rPr>
        <w:t>así como presentar los avances que hasta el momento se tienen. Para lo anterior se toma como referencia la economía basada en el conocimiento (OCDE, 1996, 2016), así como c</w:t>
      </w:r>
      <w:r w:rsidR="00515DF6">
        <w:rPr>
          <w:rFonts w:ascii="Times New Roman" w:hAnsi="Times New Roman" w:cs="Times New Roman"/>
          <w:lang w:val="es-ES_tradnl"/>
        </w:rPr>
        <w:t xml:space="preserve">omentar las tendencias </w:t>
      </w:r>
      <w:r w:rsidRPr="003A1DB8">
        <w:rPr>
          <w:rFonts w:ascii="Times New Roman" w:hAnsi="Times New Roman" w:cs="Times New Roman"/>
          <w:lang w:val="es-ES_tradnl"/>
        </w:rPr>
        <w:t>y el impacto de las habilidades adquiridas a través de la educación</w:t>
      </w:r>
      <w:r w:rsidR="009A6E75">
        <w:rPr>
          <w:rFonts w:ascii="Times New Roman" w:hAnsi="Times New Roman" w:cs="Times New Roman"/>
          <w:lang w:val="es-ES_tradnl"/>
        </w:rPr>
        <w:t xml:space="preserve"> para el empleo y </w:t>
      </w:r>
      <w:proofErr w:type="gramStart"/>
      <w:r w:rsidR="009A6E75">
        <w:rPr>
          <w:rFonts w:ascii="Times New Roman" w:hAnsi="Times New Roman" w:cs="Times New Roman"/>
          <w:lang w:val="es-ES_tradnl"/>
        </w:rPr>
        <w:t>las</w:t>
      </w:r>
      <w:proofErr w:type="gramEnd"/>
      <w:r w:rsidR="009A6E75">
        <w:rPr>
          <w:rFonts w:ascii="Times New Roman" w:hAnsi="Times New Roman" w:cs="Times New Roman"/>
          <w:lang w:val="es-ES_tradnl"/>
        </w:rPr>
        <w:t xml:space="preserve"> beneficios </w:t>
      </w:r>
      <w:r w:rsidRPr="003A1DB8">
        <w:rPr>
          <w:rFonts w:ascii="Times New Roman" w:hAnsi="Times New Roman" w:cs="Times New Roman"/>
          <w:lang w:val="es-ES_tradnl"/>
        </w:rPr>
        <w:t xml:space="preserve">que esto conlleva. </w:t>
      </w:r>
      <w:r w:rsidR="00B01A85">
        <w:rPr>
          <w:rFonts w:ascii="Times New Roman" w:hAnsi="Times New Roman" w:cs="Times New Roman"/>
          <w:lang w:val="es-ES_tradnl"/>
        </w:rPr>
        <w:t xml:space="preserve">Por lo anterior la Universidad Juárez del Estado de Durango (UJED) a través del proyecto OIL aprobado y financiado  </w:t>
      </w:r>
      <w:r w:rsidR="00B01A85" w:rsidRPr="003A1DB8">
        <w:rPr>
          <w:rFonts w:ascii="Times New Roman" w:hAnsi="Times New Roman" w:cs="Times New Roman"/>
          <w:lang w:val="es-ES_tradnl"/>
        </w:rPr>
        <w:t xml:space="preserve">por el Programa de Fortalecimiento de la Calidad Educativa (PFCE) </w:t>
      </w:r>
      <w:r w:rsidR="00B01A85">
        <w:rPr>
          <w:rFonts w:ascii="Times New Roman" w:hAnsi="Times New Roman" w:cs="Times New Roman"/>
          <w:lang w:val="es-ES_tradnl"/>
        </w:rPr>
        <w:t xml:space="preserve">diseñó tres instrumentos para recabar información de las expectativas educativas de los estudiantes de educación media superior, del panorama laboral y de la situación económica familiar en tres municipios del estado. Esto permitirá a la UJED  </w:t>
      </w:r>
      <w:r w:rsidR="008E4A5A">
        <w:rPr>
          <w:rFonts w:ascii="Times New Roman" w:hAnsi="Times New Roman" w:cs="Times New Roman"/>
          <w:lang w:val="es-ES_tradnl"/>
        </w:rPr>
        <w:t xml:space="preserve">contar con </w:t>
      </w:r>
      <w:r w:rsidR="008E4A5A">
        <w:rPr>
          <w:rFonts w:ascii="Times New Roman" w:hAnsi="Times New Roman" w:cs="Times New Roman"/>
          <w:lang w:val="es-ES_tradnl"/>
        </w:rPr>
        <w:lastRenderedPageBreak/>
        <w:t xml:space="preserve">información sólida y validada la cual orientará la toma de decisiones </w:t>
      </w:r>
      <w:r w:rsidR="00B01A85">
        <w:rPr>
          <w:rFonts w:ascii="Times New Roman" w:hAnsi="Times New Roman" w:cs="Times New Roman"/>
          <w:lang w:val="es-ES_tradnl"/>
        </w:rPr>
        <w:t xml:space="preserve"> en torno </w:t>
      </w:r>
      <w:r w:rsidR="009A6E75">
        <w:rPr>
          <w:rFonts w:ascii="Times New Roman" w:hAnsi="Times New Roman" w:cs="Times New Roman"/>
          <w:lang w:val="es-ES_tradnl"/>
        </w:rPr>
        <w:t xml:space="preserve">a la creación de nueva oferta educativa, revisiones de planes de estudios y </w:t>
      </w:r>
      <w:r w:rsidR="008E4A5A">
        <w:rPr>
          <w:rFonts w:ascii="Times New Roman" w:hAnsi="Times New Roman" w:cs="Times New Roman"/>
          <w:lang w:val="es-ES_tradnl"/>
        </w:rPr>
        <w:t xml:space="preserve">cursos de capacitación </w:t>
      </w:r>
      <w:proofErr w:type="spellStart"/>
      <w:r w:rsidR="008E4A5A">
        <w:rPr>
          <w:rFonts w:ascii="Times New Roman" w:hAnsi="Times New Roman" w:cs="Times New Roman"/>
          <w:lang w:val="es-ES_tradnl"/>
        </w:rPr>
        <w:t>profesionalizante</w:t>
      </w:r>
      <w:proofErr w:type="spellEnd"/>
      <w:r w:rsidR="008E4A5A">
        <w:rPr>
          <w:rFonts w:ascii="Times New Roman" w:hAnsi="Times New Roman" w:cs="Times New Roman"/>
          <w:lang w:val="es-ES_tradnl"/>
        </w:rPr>
        <w:t xml:space="preserve"> </w:t>
      </w:r>
      <w:r w:rsidR="00B01A85">
        <w:rPr>
          <w:rFonts w:ascii="Times New Roman" w:hAnsi="Times New Roman" w:cs="Times New Roman"/>
          <w:lang w:val="es-ES_tradnl"/>
        </w:rPr>
        <w:t>en modalidad virtual.</w:t>
      </w:r>
    </w:p>
    <w:p w14:paraId="6D9B8389" w14:textId="77777777" w:rsidR="000748D1" w:rsidRDefault="00B01A85" w:rsidP="00B01A85">
      <w:pPr>
        <w:autoSpaceDE w:val="0"/>
        <w:autoSpaceDN w:val="0"/>
        <w:adjustRightInd w:val="0"/>
        <w:spacing w:after="240" w:line="360" w:lineRule="auto"/>
        <w:jc w:val="both"/>
        <w:rPr>
          <w:rStyle w:val="Ttulo2Car"/>
          <w:rFonts w:ascii="Times New Roman" w:hAnsi="Times New Roman" w:cs="Times New Roman"/>
          <w:color w:val="auto"/>
          <w:sz w:val="24"/>
          <w:szCs w:val="24"/>
        </w:rPr>
      </w:pPr>
      <w:r w:rsidRPr="000748D1">
        <w:rPr>
          <w:rStyle w:val="Ttulo2Car"/>
          <w:rFonts w:ascii="Times New Roman" w:hAnsi="Times New Roman" w:cs="Times New Roman"/>
          <w:color w:val="auto"/>
          <w:sz w:val="24"/>
          <w:szCs w:val="24"/>
        </w:rPr>
        <w:t xml:space="preserve"> </w:t>
      </w:r>
      <w:r w:rsidR="000748D1" w:rsidRPr="000748D1">
        <w:rPr>
          <w:rStyle w:val="Ttulo2Car"/>
          <w:rFonts w:ascii="Times New Roman" w:hAnsi="Times New Roman" w:cs="Times New Roman"/>
          <w:color w:val="auto"/>
          <w:sz w:val="24"/>
          <w:szCs w:val="24"/>
        </w:rPr>
        <w:t xml:space="preserve">Antecedentes  </w:t>
      </w:r>
    </w:p>
    <w:p w14:paraId="1BBA406B" w14:textId="77777777" w:rsidR="00D15B99" w:rsidRPr="00494ADD" w:rsidRDefault="00D15B99" w:rsidP="00D15B99">
      <w:pPr>
        <w:pStyle w:val="Textoindependiente"/>
        <w:spacing w:line="360" w:lineRule="auto"/>
      </w:pPr>
      <w:r w:rsidRPr="00494ADD">
        <w:t xml:space="preserve">La Teoría del Capital Humano, se remonta a 1776 cuando Adam Smith sugería que el hombre con educación era comparable a una máquina y que el trabajo que el desempeñaría le regresaría todos los gastos de su aprendizaje. Estas ideas son retomadas por </w:t>
      </w:r>
      <w:proofErr w:type="spellStart"/>
      <w:r w:rsidRPr="00494ADD">
        <w:t>Schultz</w:t>
      </w:r>
      <w:proofErr w:type="spellEnd"/>
      <w:r w:rsidRPr="00494ADD">
        <w:t xml:space="preserve"> a mediados del siglo pasado al considerar a los seres humanos como bienes de capital. </w:t>
      </w:r>
    </w:p>
    <w:p w14:paraId="3487F16B" w14:textId="77777777" w:rsidR="00D15B99" w:rsidRDefault="00D15B99" w:rsidP="00D15B99">
      <w:pPr>
        <w:pStyle w:val="Textoindependiente"/>
        <w:spacing w:line="360" w:lineRule="auto"/>
      </w:pPr>
      <w:r w:rsidRPr="00494ADD">
        <w:t xml:space="preserve">En 1964, la </w:t>
      </w:r>
      <w:r>
        <w:t>Organización para la Cooperación y el Desarrollo Económico (</w:t>
      </w:r>
      <w:r w:rsidRPr="00494ADD">
        <w:t>OCDE</w:t>
      </w:r>
      <w:r>
        <w:t>)</w:t>
      </w:r>
      <w:r w:rsidRPr="00494ADD">
        <w:t xml:space="preserve"> señalaba que las inversiones en educación generaban rentas mayores que las inversiones en capital fijo y las inversiones educativas eren un medio efectivo para incrementar el Producto Nacional Bruto. Ante estas afirmaciones se justificó una expansión masiva de la educación en la mayoría de los países. Además  de que se encontró una correlación muy fuerte entre la educación superior y el ingreso per cápita de un país. En este sentido las expectativas fueron alentadoras al apostar </w:t>
      </w:r>
      <w:r>
        <w:t>en</w:t>
      </w:r>
      <w:r w:rsidRPr="00494ADD">
        <w:t xml:space="preserve"> la educación el desarrollo económico de los países.</w:t>
      </w:r>
    </w:p>
    <w:p w14:paraId="210C0D74" w14:textId="77777777" w:rsidR="00D15B99" w:rsidRPr="00D15B99" w:rsidRDefault="00D15B99" w:rsidP="00D15B99">
      <w:pPr>
        <w:spacing w:line="360" w:lineRule="auto"/>
        <w:jc w:val="both"/>
        <w:rPr>
          <w:rFonts w:ascii="Times New Roman" w:hAnsi="Times New Roman" w:cs="Times New Roman"/>
          <w:sz w:val="24"/>
          <w:szCs w:val="24"/>
        </w:rPr>
      </w:pPr>
      <w:r w:rsidRPr="00D15B99">
        <w:rPr>
          <w:rFonts w:ascii="Times New Roman" w:hAnsi="Times New Roman" w:cs="Times New Roman"/>
          <w:sz w:val="24"/>
          <w:szCs w:val="24"/>
        </w:rPr>
        <w:t xml:space="preserve">Más adelante con nuevas investigaciones y profundización en el tema se presentaron evidencias que la situación era más compleja, no solo la educación intervenía sino otras variables. </w:t>
      </w:r>
      <w:r w:rsidRPr="00D15B99">
        <w:rPr>
          <w:rFonts w:ascii="Times New Roman" w:hAnsi="Times New Roman" w:cs="Times New Roman"/>
          <w:sz w:val="24"/>
          <w:szCs w:val="24"/>
          <w:lang w:val="es-ES_tradnl"/>
        </w:rPr>
        <w:t xml:space="preserve">En la sociedad del conocimiento el </w:t>
      </w:r>
      <w:r w:rsidRPr="00515DF6">
        <w:rPr>
          <w:rFonts w:ascii="Times New Roman" w:hAnsi="Times New Roman" w:cs="Times New Roman"/>
          <w:sz w:val="24"/>
          <w:szCs w:val="24"/>
          <w:lang w:val="es-ES_tradnl"/>
        </w:rPr>
        <w:t>capital humano</w:t>
      </w:r>
      <w:r w:rsidRPr="00D15B99">
        <w:rPr>
          <w:rFonts w:ascii="Times New Roman" w:hAnsi="Times New Roman" w:cs="Times New Roman"/>
          <w:sz w:val="24"/>
          <w:szCs w:val="24"/>
          <w:lang w:val="es-ES_tradnl"/>
        </w:rPr>
        <w:t xml:space="preserve"> es una de las mayores riquezas, es quien le va a dar desarrollo a la sociedad a través de la preparación continua de este capital; ya no se considera  un gasto sino una inversión. Centrada la sociedad del conocimiento en el capital humano emerge la educación para todos, presente en los discursos de organismos internacionales como la UNESCO y la OCDE, y permeando a las políticas educativas nacionales, teniendo así una política pública mexicana dominada por esta teoría.</w:t>
      </w:r>
    </w:p>
    <w:p w14:paraId="0B7C4025" w14:textId="77777777" w:rsidR="00D15B99" w:rsidRDefault="00D15B99" w:rsidP="00D15B99">
      <w:pPr>
        <w:spacing w:line="360" w:lineRule="auto"/>
        <w:jc w:val="both"/>
        <w:rPr>
          <w:rFonts w:ascii="Times New Roman" w:hAnsi="Times New Roman" w:cs="Times New Roman"/>
          <w:sz w:val="24"/>
          <w:szCs w:val="24"/>
          <w:lang w:val="es-ES_tradnl"/>
        </w:rPr>
      </w:pPr>
      <w:r w:rsidRPr="00D15B99">
        <w:rPr>
          <w:rFonts w:ascii="Times New Roman" w:hAnsi="Times New Roman" w:cs="Times New Roman"/>
          <w:sz w:val="24"/>
          <w:szCs w:val="24"/>
          <w:lang w:val="es-ES_tradnl"/>
        </w:rPr>
        <w:t xml:space="preserve">Esta teoría del capital humano ha sido adoptada por la OCDE y los países desarrollados quienes han buscado esquemas de vinculación entre la industria y la ciencia. En esta vinculación se está presentando el agrupamiento de universidades de investigación, corporaciones de alta tecnología: Produciendo grupos que generan inteligencia colectiva implicando crecimiento económico en la región donde se establecen, se puede citar el caso </w:t>
      </w:r>
      <w:proofErr w:type="spellStart"/>
      <w:r w:rsidRPr="00D15B99">
        <w:rPr>
          <w:rFonts w:ascii="Times New Roman" w:hAnsi="Times New Roman" w:cs="Times New Roman"/>
          <w:sz w:val="24"/>
          <w:szCs w:val="24"/>
          <w:lang w:val="es-ES_tradnl"/>
        </w:rPr>
        <w:t>Sillicon</w:t>
      </w:r>
      <w:proofErr w:type="spellEnd"/>
      <w:r w:rsidRPr="00D15B99">
        <w:rPr>
          <w:rFonts w:ascii="Times New Roman" w:hAnsi="Times New Roman" w:cs="Times New Roman"/>
          <w:sz w:val="24"/>
          <w:szCs w:val="24"/>
          <w:lang w:val="es-ES_tradnl"/>
        </w:rPr>
        <w:t xml:space="preserve"> Valley. En el cual se pone de manifiesto que la tecnología apunta a crear conocimiento comercial a través de propiedad intelectual, generada por inteligencia colectiva. En esta dinámica, las universidades se ven involucradas de forma inevitable para satisfacer al </w:t>
      </w:r>
      <w:r w:rsidRPr="00D15B99">
        <w:rPr>
          <w:rFonts w:ascii="Times New Roman" w:hAnsi="Times New Roman" w:cs="Times New Roman"/>
          <w:sz w:val="24"/>
          <w:szCs w:val="24"/>
          <w:lang w:val="es-ES_tradnl"/>
        </w:rPr>
        <w:lastRenderedPageBreak/>
        <w:t>mercado. Esta política se confirma al dar prioridad a la generalización de la escolaridad básica, disminución de las tasas de natalidad, créditos educativos para la educación superior, y la incorporación de las universidades tecnológicas.</w:t>
      </w:r>
    </w:p>
    <w:p w14:paraId="7733D2A8" w14:textId="77777777" w:rsidR="00FD364C" w:rsidRPr="00D15B99" w:rsidRDefault="00FD364C" w:rsidP="00D15B99">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 anterior impulsa al hombre a ser útil a la sociedad en términos económicos</w:t>
      </w:r>
      <w:r w:rsidR="0046395F">
        <w:rPr>
          <w:rFonts w:ascii="Times New Roman" w:hAnsi="Times New Roman" w:cs="Times New Roman"/>
          <w:sz w:val="24"/>
          <w:szCs w:val="24"/>
          <w:lang w:val="es-ES_tradnl"/>
        </w:rPr>
        <w:t xml:space="preserve"> pero </w:t>
      </w:r>
      <w:r>
        <w:rPr>
          <w:rFonts w:ascii="Times New Roman" w:hAnsi="Times New Roman" w:cs="Times New Roman"/>
          <w:sz w:val="24"/>
          <w:szCs w:val="24"/>
          <w:lang w:val="es-ES_tradnl"/>
        </w:rPr>
        <w:t xml:space="preserve"> </w:t>
      </w:r>
      <w:r w:rsidR="0046395F">
        <w:rPr>
          <w:rFonts w:ascii="Times New Roman" w:hAnsi="Times New Roman" w:cs="Times New Roman"/>
          <w:sz w:val="24"/>
          <w:szCs w:val="24"/>
          <w:lang w:val="es-ES_tradnl"/>
        </w:rPr>
        <w:t xml:space="preserve">deja de lado el </w:t>
      </w:r>
      <w:r>
        <w:rPr>
          <w:rFonts w:ascii="Times New Roman" w:hAnsi="Times New Roman" w:cs="Times New Roman"/>
          <w:sz w:val="24"/>
          <w:szCs w:val="24"/>
          <w:lang w:val="es-ES_tradnl"/>
        </w:rPr>
        <w:t>aspecto social</w:t>
      </w:r>
      <w:r w:rsidR="0046395F">
        <w:rPr>
          <w:rFonts w:ascii="Times New Roman" w:hAnsi="Times New Roman" w:cs="Times New Roman"/>
          <w:sz w:val="24"/>
          <w:szCs w:val="24"/>
          <w:lang w:val="es-ES_tradnl"/>
        </w:rPr>
        <w:t>, lo cual es fundamental para el desarrollo integral del ser humano. L</w:t>
      </w:r>
      <w:r>
        <w:rPr>
          <w:rFonts w:ascii="Times New Roman" w:hAnsi="Times New Roman" w:cs="Times New Roman"/>
          <w:sz w:val="24"/>
          <w:szCs w:val="24"/>
          <w:lang w:val="es-ES_tradnl"/>
        </w:rPr>
        <w:t>a UJED procura que</w:t>
      </w:r>
      <w:r w:rsidR="0046395F">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en la formación de sus estudiantes se atiendan los aspectos axiol</w:t>
      </w:r>
      <w:r w:rsidR="0046395F">
        <w:rPr>
          <w:rFonts w:ascii="Times New Roman" w:hAnsi="Times New Roman" w:cs="Times New Roman"/>
          <w:sz w:val="24"/>
          <w:szCs w:val="24"/>
          <w:lang w:val="es-ES_tradnl"/>
        </w:rPr>
        <w:t xml:space="preserve">ógicos </w:t>
      </w:r>
      <w:r>
        <w:rPr>
          <w:rFonts w:ascii="Times New Roman" w:hAnsi="Times New Roman" w:cs="Times New Roman"/>
          <w:sz w:val="24"/>
          <w:szCs w:val="24"/>
          <w:lang w:val="es-ES_tradnl"/>
        </w:rPr>
        <w:t xml:space="preserve">en correspondencia a las necesidades sociales del entorno. </w:t>
      </w:r>
      <w:r w:rsidR="009500C0">
        <w:rPr>
          <w:rFonts w:ascii="Times New Roman" w:hAnsi="Times New Roman" w:cs="Times New Roman"/>
          <w:sz w:val="24"/>
          <w:szCs w:val="24"/>
          <w:lang w:val="es-ES_tradnl"/>
        </w:rPr>
        <w:t xml:space="preserve">Es así como el proyecto OIL vincula el aspecto social y económico recolectando información con los principales actores: estudiantes, padres de familia y empleadores; a través de los instrumentos diseñados. </w:t>
      </w:r>
    </w:p>
    <w:p w14:paraId="644964AA" w14:textId="77777777" w:rsidR="00D15B99" w:rsidRPr="00D15B99" w:rsidRDefault="00D15B99" w:rsidP="00D15B99">
      <w:pPr>
        <w:pStyle w:val="Prrafodelista"/>
        <w:jc w:val="both"/>
        <w:rPr>
          <w:rStyle w:val="Ttulo2Car"/>
          <w:rFonts w:ascii="Times New Roman" w:hAnsi="Times New Roman" w:cs="Times New Roman"/>
          <w:color w:val="auto"/>
          <w:sz w:val="24"/>
          <w:szCs w:val="24"/>
          <w:lang w:val="es-ES_tradnl"/>
        </w:rPr>
      </w:pPr>
    </w:p>
    <w:p w14:paraId="3F9D0FA9" w14:textId="77777777" w:rsidR="000748D1" w:rsidRDefault="000748D1" w:rsidP="000748D1">
      <w:pPr>
        <w:pStyle w:val="Prrafodelista"/>
        <w:numPr>
          <w:ilvl w:val="0"/>
          <w:numId w:val="29"/>
        </w:numPr>
        <w:jc w:val="both"/>
        <w:rPr>
          <w:rStyle w:val="Ttulo2Car"/>
          <w:rFonts w:ascii="Times New Roman" w:hAnsi="Times New Roman" w:cs="Times New Roman"/>
          <w:color w:val="auto"/>
          <w:sz w:val="24"/>
          <w:szCs w:val="24"/>
        </w:rPr>
      </w:pPr>
      <w:r w:rsidRPr="000748D1">
        <w:rPr>
          <w:rStyle w:val="Ttulo2Car"/>
          <w:rFonts w:ascii="Times New Roman" w:hAnsi="Times New Roman" w:cs="Times New Roman"/>
          <w:color w:val="auto"/>
          <w:sz w:val="24"/>
          <w:szCs w:val="24"/>
        </w:rPr>
        <w:t>Planteamiento del problema</w:t>
      </w:r>
    </w:p>
    <w:p w14:paraId="119CBFE2" w14:textId="77777777" w:rsidR="00F6707E" w:rsidRPr="004633B0" w:rsidRDefault="00F6707E" w:rsidP="00F6707E">
      <w:pPr>
        <w:spacing w:line="360" w:lineRule="auto"/>
        <w:jc w:val="both"/>
        <w:rPr>
          <w:rFonts w:ascii="Times New Roman" w:hAnsi="Times New Roman" w:cs="Times New Roman"/>
          <w:sz w:val="24"/>
          <w:szCs w:val="24"/>
          <w:lang w:val="es-ES_tradnl"/>
        </w:rPr>
      </w:pPr>
      <w:r w:rsidRPr="004633B0">
        <w:rPr>
          <w:rFonts w:ascii="Times New Roman" w:hAnsi="Times New Roman" w:cs="Times New Roman"/>
          <w:sz w:val="24"/>
          <w:szCs w:val="24"/>
          <w:lang w:val="es-ES_tradnl"/>
        </w:rPr>
        <w:t>La incorporación intempestiva de las tecnologías de información y comunicación en los últimos años ha modificado los empleos y ha impactado a las instituciones de Educación Superior</w:t>
      </w:r>
      <w:r w:rsidR="008347AF">
        <w:rPr>
          <w:rFonts w:ascii="Times New Roman" w:hAnsi="Times New Roman" w:cs="Times New Roman"/>
          <w:sz w:val="24"/>
          <w:szCs w:val="24"/>
          <w:lang w:val="es-ES_tradnl"/>
        </w:rPr>
        <w:t xml:space="preserve"> (IES). L</w:t>
      </w:r>
      <w:r w:rsidRPr="004633B0">
        <w:rPr>
          <w:rFonts w:ascii="Times New Roman" w:hAnsi="Times New Roman" w:cs="Times New Roman"/>
          <w:sz w:val="24"/>
          <w:szCs w:val="24"/>
          <w:lang w:val="es-ES_tradnl"/>
        </w:rPr>
        <w:t>a Sociedad del Conocimiento se caracteriza por las tecnologías de información y comunicación, sociedades de información, competencias, analistas simbólicos, modificación de empleo, competitividad, capital humano y educación.</w:t>
      </w:r>
    </w:p>
    <w:p w14:paraId="4CCAF5A3" w14:textId="77777777" w:rsidR="00F6707E" w:rsidRPr="004633B0" w:rsidRDefault="00F6707E" w:rsidP="00F6707E">
      <w:pPr>
        <w:spacing w:line="360" w:lineRule="auto"/>
        <w:jc w:val="both"/>
        <w:rPr>
          <w:rFonts w:ascii="Times New Roman" w:hAnsi="Times New Roman" w:cs="Times New Roman"/>
          <w:sz w:val="24"/>
          <w:szCs w:val="24"/>
          <w:lang w:val="es-ES_tradnl"/>
        </w:rPr>
      </w:pPr>
      <w:r w:rsidRPr="004633B0">
        <w:rPr>
          <w:rFonts w:ascii="Times New Roman" w:hAnsi="Times New Roman" w:cs="Times New Roman"/>
          <w:sz w:val="24"/>
          <w:szCs w:val="24"/>
          <w:lang w:val="es-ES_tradnl"/>
        </w:rPr>
        <w:t>Las modificaciones en el empleo están relacionadas con la incorporación permanente de nuevos conocimientos soportados en una plataforma tecnológica sólida. Las empresas se caracterizan por tener conjuntos de cerebros trabajando por un fin común, es decir</w:t>
      </w:r>
      <w:r w:rsidR="008347AF">
        <w:rPr>
          <w:rFonts w:ascii="Times New Roman" w:hAnsi="Times New Roman" w:cs="Times New Roman"/>
          <w:sz w:val="24"/>
          <w:szCs w:val="24"/>
          <w:lang w:val="es-ES_tradnl"/>
        </w:rPr>
        <w:t xml:space="preserve"> el cerebro de la empresa es la </w:t>
      </w:r>
      <w:r w:rsidRPr="004633B0">
        <w:rPr>
          <w:rFonts w:ascii="Times New Roman" w:hAnsi="Times New Roman" w:cs="Times New Roman"/>
          <w:sz w:val="24"/>
          <w:szCs w:val="24"/>
          <w:lang w:val="es-ES_tradnl"/>
        </w:rPr>
        <w:t>asociación de personas altamente capacitadas, expertos en cualquier ámbito de actividad, manipulan in</w:t>
      </w:r>
      <w:r w:rsidR="008347AF">
        <w:rPr>
          <w:rFonts w:ascii="Times New Roman" w:hAnsi="Times New Roman" w:cs="Times New Roman"/>
          <w:sz w:val="24"/>
          <w:szCs w:val="24"/>
          <w:lang w:val="es-ES_tradnl"/>
        </w:rPr>
        <w:t>formación sofisticada</w:t>
      </w:r>
      <w:r w:rsidRPr="004633B0">
        <w:rPr>
          <w:rFonts w:ascii="Times New Roman" w:hAnsi="Times New Roman" w:cs="Times New Roman"/>
          <w:sz w:val="24"/>
          <w:szCs w:val="24"/>
          <w:lang w:val="es-ES_tradnl"/>
        </w:rPr>
        <w:t xml:space="preserve">, adaptan, seleccionan, transfieren, aplican o utilizan de forma innovadora el conocimiento. En esta parte de adaptar la información seleccionarla, transferirla se asocia con la idea de conocimiento tácito. Este conocimiento difícil de medir pero indiscutiblemente palpable y enriquecido al trabajar en equipo. La experiencia se multiplica y se reorienta de forma permanente, se ensaya y se rectifica, ese </w:t>
      </w:r>
      <w:proofErr w:type="spellStart"/>
      <w:r w:rsidRPr="004633B0">
        <w:rPr>
          <w:rFonts w:ascii="Times New Roman" w:hAnsi="Times New Roman" w:cs="Times New Roman"/>
          <w:sz w:val="24"/>
          <w:szCs w:val="24"/>
          <w:lang w:val="es-ES_tradnl"/>
        </w:rPr>
        <w:t>multicerebro</w:t>
      </w:r>
      <w:proofErr w:type="spellEnd"/>
      <w:r w:rsidRPr="004633B0">
        <w:rPr>
          <w:rFonts w:ascii="Times New Roman" w:hAnsi="Times New Roman" w:cs="Times New Roman"/>
          <w:sz w:val="24"/>
          <w:szCs w:val="24"/>
          <w:lang w:val="es-ES_tradnl"/>
        </w:rPr>
        <w:t xml:space="preserve"> se expande y realiza conexiones sofisticadas.  Las empresas están al acecho de los mejores cerebros que enriquezcan al </w:t>
      </w:r>
      <w:proofErr w:type="spellStart"/>
      <w:r w:rsidRPr="004633B0">
        <w:rPr>
          <w:rFonts w:ascii="Times New Roman" w:hAnsi="Times New Roman" w:cs="Times New Roman"/>
          <w:sz w:val="24"/>
          <w:szCs w:val="24"/>
          <w:lang w:val="es-ES_tradnl"/>
        </w:rPr>
        <w:t>multicerebro</w:t>
      </w:r>
      <w:proofErr w:type="spellEnd"/>
      <w:r w:rsidRPr="004633B0">
        <w:rPr>
          <w:rFonts w:ascii="Times New Roman" w:hAnsi="Times New Roman" w:cs="Times New Roman"/>
          <w:sz w:val="24"/>
          <w:szCs w:val="24"/>
          <w:lang w:val="es-ES_tradnl"/>
        </w:rPr>
        <w:t xml:space="preserve"> de la empresa. En esta metáfora planteada las personas se despersonalizan lo importante son los conocimientos sin ellos no se existe. </w:t>
      </w:r>
    </w:p>
    <w:p w14:paraId="33FA7487" w14:textId="77777777" w:rsidR="00E31CDF" w:rsidRPr="004633B0" w:rsidRDefault="00F6707E" w:rsidP="00E31CDF">
      <w:pPr>
        <w:spacing w:line="360" w:lineRule="auto"/>
        <w:jc w:val="both"/>
        <w:rPr>
          <w:rFonts w:ascii="Times New Roman" w:hAnsi="Times New Roman" w:cs="Times New Roman"/>
          <w:sz w:val="24"/>
          <w:szCs w:val="24"/>
          <w:lang w:val="es-ES_tradnl"/>
        </w:rPr>
      </w:pPr>
      <w:r w:rsidRPr="004633B0">
        <w:rPr>
          <w:rFonts w:ascii="Times New Roman" w:hAnsi="Times New Roman" w:cs="Times New Roman"/>
          <w:sz w:val="24"/>
          <w:szCs w:val="24"/>
          <w:lang w:val="es-ES_tradnl"/>
        </w:rPr>
        <w:t>El empleo</w:t>
      </w:r>
      <w:r w:rsidRPr="004633B0">
        <w:rPr>
          <w:rFonts w:ascii="Times New Roman" w:hAnsi="Times New Roman" w:cs="Times New Roman"/>
          <w:b/>
          <w:sz w:val="24"/>
          <w:szCs w:val="24"/>
          <w:lang w:val="es-ES_tradnl"/>
        </w:rPr>
        <w:t xml:space="preserve"> </w:t>
      </w:r>
      <w:r w:rsidRPr="004633B0">
        <w:rPr>
          <w:rFonts w:ascii="Times New Roman" w:hAnsi="Times New Roman" w:cs="Times New Roman"/>
          <w:sz w:val="24"/>
          <w:szCs w:val="24"/>
          <w:lang w:val="es-ES_tradnl"/>
        </w:rPr>
        <w:t xml:space="preserve">en la sociedad del conocimiento se transforma y altera continuamente al incorporar nuevos conocimientos y tecnologías, ésta trasformación implica una capacitación permanente de los trabajadores y desarrollo de nuevas competencias. Es  así como las IES deben valorar </w:t>
      </w:r>
      <w:r w:rsidRPr="004633B0">
        <w:rPr>
          <w:rFonts w:ascii="Times New Roman" w:hAnsi="Times New Roman" w:cs="Times New Roman"/>
          <w:sz w:val="24"/>
          <w:szCs w:val="24"/>
          <w:lang w:val="es-ES_tradnl"/>
        </w:rPr>
        <w:lastRenderedPageBreak/>
        <w:t xml:space="preserve">continuamente sus planes y programas de estudio así como las habilidades y destrezas que se pretende adquieran los estudiantes en la preparación de sus carreras. Además de ofertar cursos de capacitación en las diferentes áreas del conocimiento. </w:t>
      </w:r>
    </w:p>
    <w:p w14:paraId="5CDEC08B" w14:textId="77777777" w:rsidR="00F6707E" w:rsidRPr="004633B0" w:rsidRDefault="004633B0" w:rsidP="004633B0">
      <w:pPr>
        <w:spacing w:line="360" w:lineRule="auto"/>
        <w:jc w:val="both"/>
        <w:rPr>
          <w:rStyle w:val="Ttulo2Car"/>
          <w:rFonts w:ascii="Times New Roman" w:eastAsiaTheme="minorHAnsi" w:hAnsi="Times New Roman" w:cs="Times New Roman"/>
          <w:b w:val="0"/>
          <w:bCs w:val="0"/>
          <w:color w:val="auto"/>
          <w:sz w:val="24"/>
          <w:szCs w:val="24"/>
          <w:lang w:val="es-ES_tradnl"/>
        </w:rPr>
      </w:pPr>
      <w:r w:rsidRPr="004633B0">
        <w:rPr>
          <w:rFonts w:ascii="Times New Roman" w:hAnsi="Times New Roman" w:cs="Times New Roman"/>
          <w:sz w:val="24"/>
          <w:szCs w:val="24"/>
          <w:lang w:val="es-ES_tradnl"/>
        </w:rPr>
        <w:t>A partir de esta situación actual de la sociedad del conocimiento la UJED no debe permanecer de lado a esta circunstancia. Prueba de esto es la propuesta del Observatorio de Investigación Laboral que tiene como propósito indagar la posibilidad y factibilidad de nueva</w:t>
      </w:r>
      <w:r w:rsidR="008347AF">
        <w:rPr>
          <w:rFonts w:ascii="Times New Roman" w:hAnsi="Times New Roman" w:cs="Times New Roman"/>
          <w:sz w:val="24"/>
          <w:szCs w:val="24"/>
          <w:lang w:val="es-ES_tradnl"/>
        </w:rPr>
        <w:t>s</w:t>
      </w:r>
      <w:r w:rsidRPr="004633B0">
        <w:rPr>
          <w:rFonts w:ascii="Times New Roman" w:hAnsi="Times New Roman" w:cs="Times New Roman"/>
          <w:sz w:val="24"/>
          <w:szCs w:val="24"/>
          <w:lang w:val="es-ES_tradnl"/>
        </w:rPr>
        <w:t xml:space="preserve"> oferta</w:t>
      </w:r>
      <w:r w:rsidR="008347AF">
        <w:rPr>
          <w:rFonts w:ascii="Times New Roman" w:hAnsi="Times New Roman" w:cs="Times New Roman"/>
          <w:sz w:val="24"/>
          <w:szCs w:val="24"/>
          <w:lang w:val="es-ES_tradnl"/>
        </w:rPr>
        <w:t>s</w:t>
      </w:r>
      <w:r w:rsidRPr="004633B0">
        <w:rPr>
          <w:rFonts w:ascii="Times New Roman" w:hAnsi="Times New Roman" w:cs="Times New Roman"/>
          <w:sz w:val="24"/>
          <w:szCs w:val="24"/>
          <w:lang w:val="es-ES_tradnl"/>
        </w:rPr>
        <w:t xml:space="preserve"> educativa</w:t>
      </w:r>
      <w:r w:rsidR="008347AF">
        <w:rPr>
          <w:rFonts w:ascii="Times New Roman" w:hAnsi="Times New Roman" w:cs="Times New Roman"/>
          <w:sz w:val="24"/>
          <w:szCs w:val="24"/>
          <w:lang w:val="es-ES_tradnl"/>
        </w:rPr>
        <w:t>s que r</w:t>
      </w:r>
      <w:r w:rsidRPr="004633B0">
        <w:rPr>
          <w:rFonts w:ascii="Times New Roman" w:hAnsi="Times New Roman" w:cs="Times New Roman"/>
          <w:sz w:val="24"/>
          <w:szCs w:val="24"/>
          <w:lang w:val="es-ES_tradnl"/>
        </w:rPr>
        <w:t>esponda</w:t>
      </w:r>
      <w:r w:rsidR="008347AF">
        <w:rPr>
          <w:rFonts w:ascii="Times New Roman" w:hAnsi="Times New Roman" w:cs="Times New Roman"/>
          <w:sz w:val="24"/>
          <w:szCs w:val="24"/>
          <w:lang w:val="es-ES_tradnl"/>
        </w:rPr>
        <w:t>n</w:t>
      </w:r>
      <w:r w:rsidRPr="004633B0">
        <w:rPr>
          <w:rFonts w:ascii="Times New Roman" w:hAnsi="Times New Roman" w:cs="Times New Roman"/>
          <w:sz w:val="24"/>
          <w:szCs w:val="24"/>
          <w:lang w:val="es-ES_tradnl"/>
        </w:rPr>
        <w:t xml:space="preserve"> a </w:t>
      </w:r>
      <w:r w:rsidR="008347AF">
        <w:rPr>
          <w:rFonts w:ascii="Times New Roman" w:hAnsi="Times New Roman" w:cs="Times New Roman"/>
          <w:sz w:val="24"/>
          <w:szCs w:val="24"/>
          <w:lang w:val="es-ES_tradnl"/>
        </w:rPr>
        <w:t xml:space="preserve">los </w:t>
      </w:r>
      <w:r w:rsidRPr="004633B0">
        <w:rPr>
          <w:rFonts w:ascii="Times New Roman" w:hAnsi="Times New Roman" w:cs="Times New Roman"/>
          <w:sz w:val="24"/>
          <w:szCs w:val="24"/>
          <w:lang w:val="es-ES_tradnl"/>
        </w:rPr>
        <w:t xml:space="preserve">contextos </w:t>
      </w:r>
      <w:r w:rsidR="008347AF">
        <w:rPr>
          <w:rFonts w:ascii="Times New Roman" w:hAnsi="Times New Roman" w:cs="Times New Roman"/>
          <w:sz w:val="24"/>
          <w:szCs w:val="24"/>
          <w:lang w:val="es-ES_tradnl"/>
        </w:rPr>
        <w:t xml:space="preserve">particulares </w:t>
      </w:r>
      <w:r w:rsidRPr="004633B0">
        <w:rPr>
          <w:rFonts w:ascii="Times New Roman" w:hAnsi="Times New Roman" w:cs="Times New Roman"/>
          <w:sz w:val="24"/>
          <w:szCs w:val="24"/>
          <w:lang w:val="es-ES_tradnl"/>
        </w:rPr>
        <w:t>de los municipios de</w:t>
      </w:r>
      <w:r w:rsidR="008347AF">
        <w:rPr>
          <w:rFonts w:ascii="Times New Roman" w:hAnsi="Times New Roman" w:cs="Times New Roman"/>
          <w:sz w:val="24"/>
          <w:szCs w:val="24"/>
          <w:lang w:val="es-ES_tradnl"/>
        </w:rPr>
        <w:t xml:space="preserve">l estado de </w:t>
      </w:r>
      <w:r w:rsidRPr="004633B0">
        <w:rPr>
          <w:rFonts w:ascii="Times New Roman" w:hAnsi="Times New Roman" w:cs="Times New Roman"/>
          <w:sz w:val="24"/>
          <w:szCs w:val="24"/>
          <w:lang w:val="es-ES_tradnl"/>
        </w:rPr>
        <w:t xml:space="preserve"> Durango y </w:t>
      </w:r>
      <w:r w:rsidR="0085493C">
        <w:rPr>
          <w:rFonts w:ascii="Times New Roman" w:hAnsi="Times New Roman" w:cs="Times New Roman"/>
          <w:sz w:val="24"/>
          <w:szCs w:val="24"/>
          <w:lang w:val="es-ES_tradnl"/>
        </w:rPr>
        <w:t xml:space="preserve">de manera simultánea garantizar la </w:t>
      </w:r>
      <w:r w:rsidRPr="004633B0">
        <w:rPr>
          <w:rFonts w:ascii="Times New Roman" w:hAnsi="Times New Roman" w:cs="Times New Roman"/>
          <w:sz w:val="24"/>
          <w:szCs w:val="24"/>
          <w:lang w:val="es-ES_tradnl"/>
        </w:rPr>
        <w:t>calidad</w:t>
      </w:r>
      <w:r w:rsidR="0085493C">
        <w:rPr>
          <w:rFonts w:ascii="Times New Roman" w:hAnsi="Times New Roman" w:cs="Times New Roman"/>
          <w:sz w:val="24"/>
          <w:szCs w:val="24"/>
          <w:lang w:val="es-ES_tradnl"/>
        </w:rPr>
        <w:t>,</w:t>
      </w:r>
      <w:r w:rsidRPr="004633B0">
        <w:rPr>
          <w:rFonts w:ascii="Times New Roman" w:hAnsi="Times New Roman" w:cs="Times New Roman"/>
          <w:sz w:val="24"/>
          <w:szCs w:val="24"/>
          <w:lang w:val="es-ES_tradnl"/>
        </w:rPr>
        <w:t xml:space="preserve"> para que los egresados enfrenten </w:t>
      </w:r>
      <w:r w:rsidR="008347AF">
        <w:rPr>
          <w:rFonts w:ascii="Times New Roman" w:hAnsi="Times New Roman" w:cs="Times New Roman"/>
          <w:sz w:val="24"/>
          <w:szCs w:val="24"/>
          <w:lang w:val="es-ES_tradnl"/>
        </w:rPr>
        <w:t xml:space="preserve">al mercado laboral con herramientas adecuadas a su entorno. </w:t>
      </w:r>
      <w:r w:rsidR="00F6707E" w:rsidRPr="004633B0">
        <w:rPr>
          <w:rFonts w:ascii="Times New Roman" w:hAnsi="Times New Roman" w:cs="Times New Roman"/>
          <w:sz w:val="24"/>
          <w:szCs w:val="24"/>
          <w:lang w:val="es-ES_tradnl"/>
        </w:rPr>
        <w:t>La otra tendencia es la relación del conocimiento con la econ</w:t>
      </w:r>
      <w:r w:rsidR="00DA298D">
        <w:rPr>
          <w:rFonts w:ascii="Times New Roman" w:hAnsi="Times New Roman" w:cs="Times New Roman"/>
          <w:sz w:val="24"/>
          <w:szCs w:val="24"/>
          <w:lang w:val="es-ES_tradnl"/>
        </w:rPr>
        <w:t>omía para impulsar el autoempleo y la capacidad creativa.</w:t>
      </w:r>
      <w:r w:rsidR="00F6707E" w:rsidRPr="004633B0">
        <w:rPr>
          <w:rFonts w:ascii="Times New Roman" w:hAnsi="Times New Roman" w:cs="Times New Roman"/>
          <w:sz w:val="24"/>
          <w:szCs w:val="24"/>
          <w:lang w:val="es-ES_tradnl"/>
        </w:rPr>
        <w:t xml:space="preserve"> </w:t>
      </w:r>
    </w:p>
    <w:p w14:paraId="72067221" w14:textId="77777777" w:rsidR="000748D1" w:rsidRDefault="000748D1" w:rsidP="000748D1">
      <w:pPr>
        <w:pStyle w:val="Prrafodelista"/>
        <w:numPr>
          <w:ilvl w:val="0"/>
          <w:numId w:val="29"/>
        </w:numPr>
        <w:jc w:val="both"/>
        <w:rPr>
          <w:rStyle w:val="Ttulo2Car"/>
          <w:rFonts w:ascii="Times New Roman" w:hAnsi="Times New Roman" w:cs="Times New Roman"/>
          <w:color w:val="auto"/>
          <w:sz w:val="24"/>
          <w:szCs w:val="24"/>
        </w:rPr>
      </w:pPr>
      <w:r>
        <w:rPr>
          <w:rStyle w:val="Ttulo2Car"/>
          <w:rFonts w:ascii="Times New Roman" w:hAnsi="Times New Roman" w:cs="Times New Roman"/>
          <w:color w:val="auto"/>
          <w:sz w:val="24"/>
          <w:szCs w:val="24"/>
        </w:rPr>
        <w:t>Justificación</w:t>
      </w:r>
    </w:p>
    <w:p w14:paraId="111834C4" w14:textId="77777777" w:rsidR="00D92BA5" w:rsidRDefault="00D92BA5" w:rsidP="00D92BA5">
      <w:pPr>
        <w:spacing w:after="240" w:line="360" w:lineRule="auto"/>
        <w:jc w:val="both"/>
        <w:rPr>
          <w:rFonts w:ascii="Times New Roman" w:hAnsi="Times New Roman" w:cs="Times New Roman"/>
          <w:sz w:val="24"/>
          <w:szCs w:val="24"/>
        </w:rPr>
      </w:pPr>
      <w:r w:rsidRPr="00D92BA5">
        <w:rPr>
          <w:rFonts w:ascii="Times New Roman" w:hAnsi="Times New Roman" w:cs="Times New Roman"/>
          <w:sz w:val="24"/>
          <w:szCs w:val="24"/>
        </w:rPr>
        <w:t xml:space="preserve">La UJED consciente de la importancia de la educación superior para los jóvenes y en correspondencia a las tendencias e indicadores a nivel mundial como lo indica la OCDE (2016) en </w:t>
      </w:r>
      <w:r w:rsidR="00F57D8A">
        <w:rPr>
          <w:rFonts w:ascii="Times New Roman" w:hAnsi="Times New Roman" w:cs="Times New Roman"/>
          <w:sz w:val="24"/>
          <w:szCs w:val="24"/>
        </w:rPr>
        <w:t>términos de educación y empleo.; e</w:t>
      </w:r>
      <w:r w:rsidRPr="00D92BA5">
        <w:rPr>
          <w:rFonts w:ascii="Times New Roman" w:hAnsi="Times New Roman" w:cs="Times New Roman"/>
          <w:sz w:val="24"/>
          <w:szCs w:val="24"/>
        </w:rPr>
        <w:t xml:space="preserve">mprende el proyecto de Investigación Laboral para </w:t>
      </w:r>
      <w:r w:rsidR="00F57D8A">
        <w:rPr>
          <w:rFonts w:ascii="Times New Roman" w:hAnsi="Times New Roman" w:cs="Times New Roman"/>
          <w:sz w:val="24"/>
          <w:szCs w:val="24"/>
        </w:rPr>
        <w:t xml:space="preserve">incrementar la oferta educativa en modalidad virtual </w:t>
      </w:r>
      <w:r w:rsidRPr="00D92BA5">
        <w:rPr>
          <w:rFonts w:ascii="Times New Roman" w:hAnsi="Times New Roman" w:cs="Times New Roman"/>
          <w:sz w:val="24"/>
          <w:szCs w:val="24"/>
        </w:rPr>
        <w:t xml:space="preserve">a las localidades del Estado de Durango. Tomando en cuenta tres ejes: las expectativas de los estudiantes, la situación económica de las familias y el campo laboral de las localidades. Como se mencionó anteriormente el proyecto de Observatorio de Investigación Laboral (OIL) de la UJED está apoyado por PFCE </w:t>
      </w:r>
      <w:r w:rsidR="00F57D8A">
        <w:rPr>
          <w:rFonts w:ascii="Times New Roman" w:hAnsi="Times New Roman" w:cs="Times New Roman"/>
          <w:sz w:val="24"/>
          <w:szCs w:val="24"/>
        </w:rPr>
        <w:t xml:space="preserve">en una primera etapa en tres municipios </w:t>
      </w:r>
      <w:r w:rsidRPr="00D92BA5">
        <w:rPr>
          <w:rFonts w:ascii="Times New Roman" w:hAnsi="Times New Roman" w:cs="Times New Roman"/>
          <w:sz w:val="24"/>
          <w:szCs w:val="24"/>
        </w:rPr>
        <w:t xml:space="preserve">y tiene como objetivo determinar las posibles y factibles nuevas ofertas educativas en modalidad virtual enfocándose principalmente en los municipios fuera de la capital de Durango. </w:t>
      </w:r>
    </w:p>
    <w:p w14:paraId="38A51F52" w14:textId="77777777" w:rsidR="00F57D8A" w:rsidRDefault="00F57D8A" w:rsidP="00D92BA5">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Esto beneficiará el acceso de los estudiantes a estudios de nivel superior, busca impactar en indicadores como migración y deserción escolar y los egresados, con el conocimiento adquirido,  impulsen el crecimiento económico y social de su comunidad. </w:t>
      </w:r>
    </w:p>
    <w:p w14:paraId="2B2AEC22" w14:textId="77777777" w:rsidR="00F57D8A" w:rsidRPr="00D92BA5" w:rsidRDefault="001475A4" w:rsidP="00D92BA5">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Asimismo</w:t>
      </w:r>
      <w:r w:rsidR="00F57D8A">
        <w:rPr>
          <w:rFonts w:ascii="Times New Roman" w:hAnsi="Times New Roman" w:cs="Times New Roman"/>
          <w:sz w:val="24"/>
          <w:szCs w:val="24"/>
        </w:rPr>
        <w:t xml:space="preserve"> el OIL permitirá </w:t>
      </w:r>
      <w:r w:rsidR="00A43898">
        <w:rPr>
          <w:rFonts w:ascii="Times New Roman" w:hAnsi="Times New Roman" w:cs="Times New Roman"/>
          <w:sz w:val="24"/>
          <w:szCs w:val="24"/>
        </w:rPr>
        <w:t xml:space="preserve">observar de forma </w:t>
      </w:r>
      <w:r w:rsidR="00F57D8A">
        <w:rPr>
          <w:rFonts w:ascii="Times New Roman" w:hAnsi="Times New Roman" w:cs="Times New Roman"/>
          <w:sz w:val="24"/>
          <w:szCs w:val="24"/>
        </w:rPr>
        <w:t>permanente</w:t>
      </w:r>
      <w:r w:rsidR="00A43898">
        <w:rPr>
          <w:rFonts w:ascii="Times New Roman" w:hAnsi="Times New Roman" w:cs="Times New Roman"/>
          <w:sz w:val="24"/>
          <w:szCs w:val="24"/>
        </w:rPr>
        <w:t xml:space="preserve"> la dinámica social reflejada en estadísticas e  indicadores de los municipios del estado de Durango, </w:t>
      </w:r>
      <w:r>
        <w:rPr>
          <w:rFonts w:ascii="Times New Roman" w:hAnsi="Times New Roman" w:cs="Times New Roman"/>
          <w:sz w:val="24"/>
          <w:szCs w:val="24"/>
        </w:rPr>
        <w:t xml:space="preserve">a través del contacto con los empleadores y el seguimiento de egresados. Esto permitirá la oportuna actualización y pertinencia de los planes y programas de estudio y los cursos de </w:t>
      </w:r>
      <w:proofErr w:type="spellStart"/>
      <w:r>
        <w:rPr>
          <w:rFonts w:ascii="Times New Roman" w:hAnsi="Times New Roman" w:cs="Times New Roman"/>
          <w:sz w:val="24"/>
          <w:szCs w:val="24"/>
        </w:rPr>
        <w:t>profesionalizantes</w:t>
      </w:r>
      <w:proofErr w:type="spellEnd"/>
      <w:r>
        <w:rPr>
          <w:rFonts w:ascii="Times New Roman" w:hAnsi="Times New Roman" w:cs="Times New Roman"/>
          <w:sz w:val="24"/>
          <w:szCs w:val="24"/>
        </w:rPr>
        <w:t xml:space="preserve">. </w:t>
      </w:r>
      <w:r w:rsidR="00A43898">
        <w:rPr>
          <w:rFonts w:ascii="Times New Roman" w:hAnsi="Times New Roman" w:cs="Times New Roman"/>
          <w:sz w:val="24"/>
          <w:szCs w:val="24"/>
        </w:rPr>
        <w:t xml:space="preserve"> </w:t>
      </w:r>
    </w:p>
    <w:p w14:paraId="4F98A83E" w14:textId="77777777" w:rsidR="003911DE" w:rsidRDefault="003911DE" w:rsidP="00D15B99">
      <w:pPr>
        <w:spacing w:line="360" w:lineRule="auto"/>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C824CC">
        <w:rPr>
          <w:rStyle w:val="Ttulo1Car"/>
          <w:rFonts w:ascii="Times New Roman" w:hAnsi="Times New Roman" w:cs="Times New Roman"/>
          <w:smallCaps/>
          <w:color w:val="auto"/>
          <w:sz w:val="24"/>
          <w:szCs w:val="24"/>
        </w:rPr>
        <w:t>M</w:t>
      </w:r>
      <w:r w:rsidR="00C824CC" w:rsidRPr="00C824CC">
        <w:rPr>
          <w:rStyle w:val="Ttulo1Car"/>
          <w:rFonts w:ascii="Times New Roman" w:hAnsi="Times New Roman" w:cs="Times New Roman"/>
          <w:smallCaps/>
          <w:color w:val="auto"/>
          <w:sz w:val="24"/>
          <w:szCs w:val="24"/>
        </w:rPr>
        <w:t xml:space="preserve">arco </w:t>
      </w:r>
      <w:r w:rsidR="00C824CC">
        <w:rPr>
          <w:rStyle w:val="Ttulo1Car"/>
          <w:rFonts w:ascii="Times New Roman" w:hAnsi="Times New Roman" w:cs="Times New Roman"/>
          <w:smallCaps/>
          <w:color w:val="auto"/>
          <w:sz w:val="24"/>
          <w:szCs w:val="24"/>
        </w:rPr>
        <w:t>T</w:t>
      </w:r>
      <w:r w:rsidR="00C824CC" w:rsidRPr="00C824CC">
        <w:rPr>
          <w:rStyle w:val="Ttulo1Car"/>
          <w:rFonts w:ascii="Times New Roman" w:hAnsi="Times New Roman" w:cs="Times New Roman"/>
          <w:smallCaps/>
          <w:color w:val="auto"/>
          <w:sz w:val="24"/>
          <w:szCs w:val="24"/>
        </w:rPr>
        <w:t>e</w:t>
      </w:r>
      <w:r w:rsidR="00C824CC">
        <w:rPr>
          <w:rStyle w:val="Ttulo1Car"/>
          <w:rFonts w:ascii="Times New Roman" w:hAnsi="Times New Roman" w:cs="Times New Roman"/>
          <w:smallCaps/>
          <w:color w:val="auto"/>
          <w:sz w:val="24"/>
          <w:szCs w:val="24"/>
        </w:rPr>
        <w:t>ó</w:t>
      </w:r>
      <w:r w:rsidR="00C824CC" w:rsidRPr="00C824CC">
        <w:rPr>
          <w:rStyle w:val="Ttulo1Car"/>
          <w:rFonts w:ascii="Times New Roman" w:hAnsi="Times New Roman" w:cs="Times New Roman"/>
          <w:smallCaps/>
          <w:color w:val="auto"/>
          <w:sz w:val="24"/>
          <w:szCs w:val="24"/>
        </w:rPr>
        <w:t>rico</w:t>
      </w:r>
      <w:r w:rsidR="00C824CC" w:rsidRPr="00C824CC">
        <w:rPr>
          <w:rFonts w:ascii="Times New Roman" w:hAnsi="Times New Roman" w:cs="Times New Roman"/>
          <w:szCs w:val="24"/>
          <w:lang w:val="es-MX"/>
        </w:rPr>
        <w:t xml:space="preserve"> </w:t>
      </w:r>
    </w:p>
    <w:p w14:paraId="05E6E818" w14:textId="77777777" w:rsidR="00D82388" w:rsidRPr="00D82388" w:rsidRDefault="00D82388" w:rsidP="00D82388">
      <w:pPr>
        <w:spacing w:line="360" w:lineRule="auto"/>
        <w:jc w:val="both"/>
        <w:rPr>
          <w:rFonts w:ascii="Times New Roman" w:hAnsi="Times New Roman" w:cs="Times New Roman"/>
          <w:sz w:val="24"/>
          <w:szCs w:val="24"/>
        </w:rPr>
      </w:pPr>
      <w:r w:rsidRPr="00D82388">
        <w:rPr>
          <w:rFonts w:ascii="Times New Roman" w:hAnsi="Times New Roman" w:cs="Times New Roman"/>
          <w:sz w:val="24"/>
          <w:szCs w:val="24"/>
        </w:rPr>
        <w:lastRenderedPageBreak/>
        <w:t xml:space="preserve">La OCDE pretende el incremento y diversificación de las formas de aprendizaje cambiar de uno pasivo a uno interactivo, creativo e innovador. Además de terminar con la rigidez de los sistemas educativos y transformarlos en flexibles. En el caso particular de México la rigidez es señalada por Ornelas (1995) como un problema y en las recomendaciones de la OCDE (2003) está también presente. Para la OCDE una escuela eficaz requiere la combinación correcta de personal capacitado y talentoso, instalaciones adecuadas, equipo con tecnología de punta y alumnos motivados con disposición a aprender. Sin embargo estas condiciones implican un alto costo y el organismo da suma importancia a indicadores como gasto por alumno, intervención de financiamiento público y privado. </w:t>
      </w:r>
    </w:p>
    <w:p w14:paraId="65191E5E" w14:textId="77777777" w:rsidR="00D82388" w:rsidRPr="00D82388" w:rsidRDefault="00D82388" w:rsidP="00D82388">
      <w:pPr>
        <w:spacing w:line="360" w:lineRule="auto"/>
        <w:jc w:val="both"/>
        <w:rPr>
          <w:rFonts w:ascii="Times New Roman" w:hAnsi="Times New Roman" w:cs="Times New Roman"/>
          <w:sz w:val="24"/>
          <w:szCs w:val="24"/>
        </w:rPr>
      </w:pPr>
      <w:r w:rsidRPr="00D82388">
        <w:rPr>
          <w:rFonts w:ascii="Times New Roman" w:hAnsi="Times New Roman" w:cs="Times New Roman"/>
          <w:sz w:val="24"/>
          <w:szCs w:val="24"/>
        </w:rPr>
        <w:t xml:space="preserve">El financiamiento es un tema recurrente en los organismos internacionales y la OCDE no es la excepción, propone eficiencia y optimización de los recursos, diversificación de fuentes de financiamiento, incremento de la educación privada y reducción del costo de la nómina de los profesores. </w:t>
      </w:r>
    </w:p>
    <w:p w14:paraId="1709E62E" w14:textId="77777777" w:rsidR="00D82388" w:rsidRPr="00D82388" w:rsidRDefault="00D82388" w:rsidP="00D82388">
      <w:pPr>
        <w:spacing w:line="360" w:lineRule="auto"/>
        <w:jc w:val="both"/>
        <w:rPr>
          <w:rFonts w:ascii="Times New Roman" w:hAnsi="Times New Roman" w:cs="Times New Roman"/>
          <w:sz w:val="24"/>
          <w:szCs w:val="24"/>
        </w:rPr>
      </w:pPr>
      <w:r w:rsidRPr="00D82388">
        <w:rPr>
          <w:rFonts w:ascii="Times New Roman" w:hAnsi="Times New Roman" w:cs="Times New Roman"/>
          <w:sz w:val="24"/>
          <w:szCs w:val="24"/>
        </w:rPr>
        <w:t xml:space="preserve">Otro de los aspectos abordados por la OCDE es la planeación de los </w:t>
      </w:r>
      <w:r w:rsidR="00796C2E">
        <w:rPr>
          <w:rFonts w:ascii="Times New Roman" w:hAnsi="Times New Roman" w:cs="Times New Roman"/>
          <w:sz w:val="24"/>
          <w:szCs w:val="24"/>
        </w:rPr>
        <w:t>Sistemas de Educación Superior (</w:t>
      </w:r>
      <w:r w:rsidRPr="00D82388">
        <w:rPr>
          <w:rFonts w:ascii="Times New Roman" w:hAnsi="Times New Roman" w:cs="Times New Roman"/>
          <w:sz w:val="24"/>
          <w:szCs w:val="24"/>
        </w:rPr>
        <w:t>SES</w:t>
      </w:r>
      <w:r w:rsidR="00796C2E">
        <w:rPr>
          <w:rFonts w:ascii="Times New Roman" w:hAnsi="Times New Roman" w:cs="Times New Roman"/>
          <w:sz w:val="24"/>
          <w:szCs w:val="24"/>
        </w:rPr>
        <w:t>)</w:t>
      </w:r>
      <w:r w:rsidRPr="00D82388">
        <w:rPr>
          <w:rFonts w:ascii="Times New Roman" w:hAnsi="Times New Roman" w:cs="Times New Roman"/>
          <w:sz w:val="24"/>
          <w:szCs w:val="24"/>
        </w:rPr>
        <w:t>. La planeación debe ser un trabajo conjunto de secretarías, empleadores, comunidades políticas, gobierno y dependencias educativas, no debe de recaer en un grupo selecto que defina el futuro del país en materia educativa.</w:t>
      </w:r>
    </w:p>
    <w:p w14:paraId="1A3AE24B" w14:textId="77777777" w:rsidR="00D82388" w:rsidRPr="00D82388" w:rsidRDefault="00D82388" w:rsidP="00D82388">
      <w:pPr>
        <w:spacing w:line="360" w:lineRule="auto"/>
        <w:jc w:val="both"/>
        <w:rPr>
          <w:rFonts w:ascii="Times New Roman" w:hAnsi="Times New Roman" w:cs="Times New Roman"/>
          <w:sz w:val="24"/>
          <w:szCs w:val="24"/>
        </w:rPr>
      </w:pPr>
      <w:r w:rsidRPr="00D82388">
        <w:rPr>
          <w:rFonts w:ascii="Times New Roman" w:hAnsi="Times New Roman" w:cs="Times New Roman"/>
          <w:sz w:val="24"/>
          <w:szCs w:val="24"/>
        </w:rPr>
        <w:t>La OCDE realiza los reportes de los examinadores en conjunto con el Centro de Investigación e Innovación Educativas (CERI), los cuales pretenden medir la eficacia de los sistemas educativos de los países.</w:t>
      </w:r>
    </w:p>
    <w:p w14:paraId="6367DA44" w14:textId="77777777" w:rsidR="00D82388" w:rsidRPr="00D82388" w:rsidRDefault="00D82388" w:rsidP="00D82388">
      <w:pPr>
        <w:spacing w:line="360" w:lineRule="auto"/>
        <w:jc w:val="both"/>
        <w:rPr>
          <w:rFonts w:ascii="Times New Roman" w:hAnsi="Times New Roman" w:cs="Times New Roman"/>
          <w:sz w:val="24"/>
          <w:szCs w:val="24"/>
        </w:rPr>
      </w:pPr>
      <w:r w:rsidRPr="00D82388">
        <w:rPr>
          <w:rFonts w:ascii="Times New Roman" w:hAnsi="Times New Roman" w:cs="Times New Roman"/>
          <w:sz w:val="24"/>
          <w:szCs w:val="24"/>
        </w:rPr>
        <w:t xml:space="preserve">Para el caso de México, el grupo de examinadores del reporte realizado en el 2003, menciona los problemas cualitativos de educación superior incluyendo, entre otros, excesiva concentración de alumnos en ciertas áreas del conocimiento, índices de graduación bajos, proporción baja de profesores de tiempo completo y de capacitación calificada además de existir gran inequidad. </w:t>
      </w:r>
    </w:p>
    <w:p w14:paraId="79810C53" w14:textId="77777777" w:rsidR="00D82388" w:rsidRPr="00D82388" w:rsidRDefault="00D82388" w:rsidP="00D82388">
      <w:pPr>
        <w:spacing w:line="360" w:lineRule="auto"/>
        <w:jc w:val="both"/>
        <w:rPr>
          <w:rFonts w:ascii="Times New Roman" w:hAnsi="Times New Roman" w:cs="Times New Roman"/>
          <w:sz w:val="24"/>
          <w:szCs w:val="24"/>
        </w:rPr>
      </w:pPr>
      <w:r w:rsidRPr="00D82388">
        <w:rPr>
          <w:rFonts w:ascii="Times New Roman" w:hAnsi="Times New Roman" w:cs="Times New Roman"/>
          <w:sz w:val="24"/>
          <w:szCs w:val="24"/>
        </w:rPr>
        <w:t>La OCDE</w:t>
      </w:r>
      <w:r>
        <w:rPr>
          <w:rFonts w:ascii="Times New Roman" w:hAnsi="Times New Roman" w:cs="Times New Roman"/>
          <w:sz w:val="24"/>
          <w:szCs w:val="24"/>
        </w:rPr>
        <w:t xml:space="preserve"> </w:t>
      </w:r>
      <w:r w:rsidRPr="00D82388">
        <w:rPr>
          <w:rFonts w:ascii="Times New Roman" w:hAnsi="Times New Roman" w:cs="Times New Roman"/>
          <w:sz w:val="24"/>
          <w:szCs w:val="24"/>
        </w:rPr>
        <w:t xml:space="preserve">(2003) en su conjunto de indicadores retoma lo mencionado en sus primeros reportes de los años sesenta: </w:t>
      </w:r>
    </w:p>
    <w:p w14:paraId="0F7B40A5" w14:textId="77777777" w:rsidR="00D82388" w:rsidRPr="00796C2E" w:rsidRDefault="00D82388" w:rsidP="00D82388">
      <w:pPr>
        <w:numPr>
          <w:ilvl w:val="0"/>
          <w:numId w:val="30"/>
        </w:numPr>
        <w:spacing w:after="0" w:line="360" w:lineRule="auto"/>
        <w:jc w:val="both"/>
        <w:rPr>
          <w:rFonts w:ascii="Times New Roman" w:hAnsi="Times New Roman" w:cs="Times New Roman"/>
          <w:sz w:val="24"/>
          <w:szCs w:val="24"/>
        </w:rPr>
      </w:pPr>
      <w:r w:rsidRPr="00D82388">
        <w:rPr>
          <w:rFonts w:ascii="Times New Roman" w:hAnsi="Times New Roman" w:cs="Times New Roman"/>
          <w:sz w:val="24"/>
          <w:szCs w:val="24"/>
        </w:rPr>
        <w:t>“La educación y los ingresos tienen una relación positiva. En todos los países, los graduados de la educación terciaria ganan mucho más que los graduados del segundo ciclo de la educación secundaria”</w:t>
      </w:r>
    </w:p>
    <w:p w14:paraId="1051FD05" w14:textId="77777777" w:rsidR="00D82388" w:rsidRPr="00D82388" w:rsidRDefault="00D82388" w:rsidP="00D82388">
      <w:pPr>
        <w:spacing w:line="360" w:lineRule="auto"/>
        <w:jc w:val="both"/>
        <w:rPr>
          <w:rFonts w:ascii="Times New Roman" w:hAnsi="Times New Roman" w:cs="Times New Roman"/>
          <w:sz w:val="24"/>
          <w:szCs w:val="24"/>
        </w:rPr>
      </w:pPr>
      <w:r w:rsidRPr="00D82388">
        <w:rPr>
          <w:rFonts w:ascii="Times New Roman" w:hAnsi="Times New Roman" w:cs="Times New Roman"/>
          <w:sz w:val="24"/>
          <w:szCs w:val="24"/>
        </w:rPr>
        <w:t>Agrega algunos otros como:</w:t>
      </w:r>
    </w:p>
    <w:p w14:paraId="68EB904D" w14:textId="77777777" w:rsidR="00D82388" w:rsidRPr="00D82388" w:rsidRDefault="00D82388" w:rsidP="00D82388">
      <w:pPr>
        <w:numPr>
          <w:ilvl w:val="0"/>
          <w:numId w:val="30"/>
        </w:numPr>
        <w:spacing w:after="0" w:line="360" w:lineRule="auto"/>
        <w:jc w:val="both"/>
        <w:rPr>
          <w:rFonts w:ascii="Times New Roman" w:hAnsi="Times New Roman" w:cs="Times New Roman"/>
          <w:sz w:val="24"/>
          <w:szCs w:val="24"/>
        </w:rPr>
      </w:pPr>
      <w:r w:rsidRPr="00D82388">
        <w:rPr>
          <w:rFonts w:ascii="Times New Roman" w:hAnsi="Times New Roman" w:cs="Times New Roman"/>
          <w:sz w:val="24"/>
          <w:szCs w:val="24"/>
        </w:rPr>
        <w:lastRenderedPageBreak/>
        <w:t>Las mujeres aún ganan menos que los hombres con niveles similares de logros educativos.</w:t>
      </w:r>
    </w:p>
    <w:p w14:paraId="54B669BF" w14:textId="77777777" w:rsidR="00D82388" w:rsidRPr="00D82388" w:rsidRDefault="00D82388" w:rsidP="00D82388">
      <w:pPr>
        <w:numPr>
          <w:ilvl w:val="0"/>
          <w:numId w:val="30"/>
        </w:numPr>
        <w:spacing w:after="0" w:line="360" w:lineRule="auto"/>
        <w:jc w:val="both"/>
        <w:rPr>
          <w:rFonts w:ascii="Times New Roman" w:hAnsi="Times New Roman" w:cs="Times New Roman"/>
          <w:sz w:val="24"/>
          <w:szCs w:val="24"/>
        </w:rPr>
      </w:pPr>
      <w:r w:rsidRPr="00D82388">
        <w:rPr>
          <w:rFonts w:ascii="Times New Roman" w:hAnsi="Times New Roman" w:cs="Times New Roman"/>
          <w:sz w:val="24"/>
          <w:szCs w:val="24"/>
        </w:rPr>
        <w:t>Un análisis de los factores que impulsan el crecimiento económico muestra que el aumento en la productividad laboral explicó por lo menos la mitad del incremento en el PIB per cápita de la mayoría de los países de la OCDE.</w:t>
      </w:r>
    </w:p>
    <w:p w14:paraId="5C7628BB" w14:textId="77777777" w:rsidR="00D82388" w:rsidRPr="00D82388" w:rsidRDefault="00D82388" w:rsidP="00D82388">
      <w:pPr>
        <w:numPr>
          <w:ilvl w:val="0"/>
          <w:numId w:val="30"/>
        </w:numPr>
        <w:spacing w:after="0" w:line="360" w:lineRule="auto"/>
        <w:jc w:val="both"/>
        <w:rPr>
          <w:rFonts w:ascii="Times New Roman" w:hAnsi="Times New Roman" w:cs="Times New Roman"/>
          <w:sz w:val="24"/>
          <w:szCs w:val="24"/>
        </w:rPr>
      </w:pPr>
      <w:r w:rsidRPr="00D82388">
        <w:rPr>
          <w:rFonts w:ascii="Times New Roman" w:hAnsi="Times New Roman" w:cs="Times New Roman"/>
          <w:sz w:val="24"/>
          <w:szCs w:val="24"/>
        </w:rPr>
        <w:t>El impacto estimado a largo plazo sobre la producción económica de un año adicional de educación en la zona de la OCDE es del orden de seis por ciento.</w:t>
      </w:r>
    </w:p>
    <w:p w14:paraId="60CFCEA6" w14:textId="77777777" w:rsidR="00D82388" w:rsidRPr="00D82388" w:rsidRDefault="00D82388" w:rsidP="00D82388">
      <w:pPr>
        <w:pStyle w:val="Textoindependiente"/>
        <w:spacing w:line="360" w:lineRule="auto"/>
        <w:rPr>
          <w:szCs w:val="24"/>
        </w:rPr>
      </w:pPr>
      <w:r w:rsidRPr="00D82388">
        <w:rPr>
          <w:szCs w:val="24"/>
        </w:rPr>
        <w:t>Para la OCDE las estructuras institucionales y los entornos de política que favorecen la competencia y la flexibilidad en los mercados de trabajo y capitales, el desarrollo de nuevas tecnologías y la difusión de las innovaciones y los cambios tecnológicos son elementos muy importantes de diferenciación en las perspectivas del crecimiento. Un factor central es el llamado “capital humano” definido por la OCDE como: la riqueza productiva incorporada en el trabajo, las aptitudes y los conocimientos. La OCDE pretende medir continuamente el papel que desempeña el capital humano en el fomento de las tasas de crecimiento del producto per cápita y la remuneración de una persona al aumentar su educación escolar. Para la OCDE el capital humano es un determinante muy importante del crecimiento económico.</w:t>
      </w:r>
    </w:p>
    <w:p w14:paraId="2DA62E36" w14:textId="77777777" w:rsidR="00D82388" w:rsidRPr="00D82388" w:rsidRDefault="00D82388" w:rsidP="00D82388">
      <w:pPr>
        <w:pStyle w:val="Textoindependiente"/>
        <w:spacing w:line="360" w:lineRule="auto"/>
        <w:rPr>
          <w:szCs w:val="24"/>
        </w:rPr>
      </w:pPr>
      <w:r w:rsidRPr="00D82388">
        <w:rPr>
          <w:szCs w:val="24"/>
        </w:rPr>
        <w:t>La transición de los jóvenes al mundo laboral se ha convertido en una de las principales preocupaciones de la sociedad actual. Esta transición es un proceso que se ve afectado por la duración y la calidad de la enseñanza recibida, las condiciones del mercado laboral, el entorno socio-económico y la demografía. Durante los periodos de recesión, la transición del sistema educativo al mercado laboral es especialmente difícil para los jóvenes, que están en desventaja frente a los individuos con más experiencia. Además, cuando las condiciones del mercado laboral son desfavorables, los jóvenes tienden a permanecer más tiempo en el sistema educativo porque las altas tasas de paro reducen los costes de oportunidad de la educación. (</w:t>
      </w:r>
      <w:r w:rsidR="00396682">
        <w:rPr>
          <w:szCs w:val="24"/>
        </w:rPr>
        <w:t>OECD</w:t>
      </w:r>
      <w:r w:rsidR="00BB2DBC">
        <w:rPr>
          <w:szCs w:val="24"/>
        </w:rPr>
        <w:t xml:space="preserve">, </w:t>
      </w:r>
      <w:r w:rsidR="00396682">
        <w:rPr>
          <w:szCs w:val="24"/>
        </w:rPr>
        <w:t>2015</w:t>
      </w:r>
      <w:r w:rsidRPr="00D82388">
        <w:rPr>
          <w:szCs w:val="24"/>
        </w:rPr>
        <w:t>)</w:t>
      </w:r>
    </w:p>
    <w:p w14:paraId="538F2812" w14:textId="77777777" w:rsidR="00D82388" w:rsidRPr="00D82388" w:rsidRDefault="00D82388" w:rsidP="00D82388">
      <w:pPr>
        <w:pStyle w:val="Textoindependiente"/>
        <w:spacing w:line="360" w:lineRule="auto"/>
        <w:rPr>
          <w:szCs w:val="24"/>
        </w:rPr>
      </w:pPr>
      <w:r w:rsidRPr="00D82388">
        <w:rPr>
          <w:szCs w:val="24"/>
        </w:rPr>
        <w:t xml:space="preserve">En promedio, en todos los países y entidades </w:t>
      </w:r>
      <w:proofErr w:type="spellStart"/>
      <w:r w:rsidRPr="00D82388">
        <w:rPr>
          <w:szCs w:val="24"/>
        </w:rPr>
        <w:t>subnacionales</w:t>
      </w:r>
      <w:proofErr w:type="spellEnd"/>
      <w:r w:rsidRPr="00D82388">
        <w:rPr>
          <w:szCs w:val="24"/>
        </w:rPr>
        <w:t xml:space="preserve"> que participaron en la Encuesta de habilidades para adultos, las tasas de empleo y las ganancias aumentan con el logro educativo y, a menor medida, con habilidades superiores. Los mayores rendimientos para un mayor dominio de habilidades se acumulan para las personas que han alcanzado el nivel terciario educación. Entre los adultos con educación terciaria y aquellos con secundaria superior o postsecundaria no terciaria educación, habilidades en el uso de TIC para la resolución de problemas se asocian con mayores ganancias en comparación con los adultos </w:t>
      </w:r>
      <w:r w:rsidRPr="00D82388">
        <w:rPr>
          <w:szCs w:val="24"/>
        </w:rPr>
        <w:lastRenderedPageBreak/>
        <w:t>que son igualmente competentes en aritmética y competencia en rendimientos de aritmética rendimientos más altos que competencia equivalente en alfabetización.</w:t>
      </w:r>
    </w:p>
    <w:p w14:paraId="78DAFD8D" w14:textId="77777777" w:rsidR="00D82388" w:rsidRPr="00D82388" w:rsidRDefault="00D82388" w:rsidP="00D82388">
      <w:pPr>
        <w:pStyle w:val="Textoindependiente"/>
        <w:spacing w:line="360" w:lineRule="auto"/>
        <w:rPr>
          <w:szCs w:val="24"/>
        </w:rPr>
      </w:pPr>
      <w:r w:rsidRPr="00D82388">
        <w:rPr>
          <w:szCs w:val="24"/>
        </w:rPr>
        <w:t>Las habilidades básicas de alfabetización, aritmética y resolución de problemas generalmente se adquiere</w:t>
      </w:r>
      <w:r w:rsidR="00BB2DBC">
        <w:rPr>
          <w:szCs w:val="24"/>
        </w:rPr>
        <w:t xml:space="preserve">n en la educación formal. </w:t>
      </w:r>
      <w:r w:rsidRPr="00D82388">
        <w:rPr>
          <w:szCs w:val="24"/>
        </w:rPr>
        <w:t>Pero los adultos que han alcanzado el mismo nivel de educación pueden tener diferentes niveles de competencia en alfabetización y habilidades numéricas, y en habilidades relacionadas con el uso de información y</w:t>
      </w:r>
      <w:r w:rsidR="00BB2DBC">
        <w:rPr>
          <w:szCs w:val="24"/>
        </w:rPr>
        <w:t xml:space="preserve"> </w:t>
      </w:r>
      <w:r w:rsidRPr="00D82388">
        <w:rPr>
          <w:szCs w:val="24"/>
        </w:rPr>
        <w:t>tecnología de la comunicación (TIC) para resolver problemas. En la medida en que la productividad de los trabajadores esté relacionada a los conocimientos y habilidades que poseen, y que los salarios reflejan dicha productividad, aunque imperfectamente las personas con más habilidades deberían esperar mayores rendimientos de la participación en el mercado laboral, y por lo tanto, sería más probable que participe en él. Por lo tanto, mejorar la enseñanza de la</w:t>
      </w:r>
      <w:r>
        <w:rPr>
          <w:szCs w:val="24"/>
        </w:rPr>
        <w:t xml:space="preserve"> lectoescritura y la aritmética </w:t>
      </w:r>
      <w:r w:rsidRPr="00D82388">
        <w:rPr>
          <w:szCs w:val="24"/>
        </w:rPr>
        <w:t>en las escuelas y en los programas para adultos con habilidades deficientes y familiaridad limitada con las TIC puede proporcionar considerables beneficios económicos y sociales para las personas y la</w:t>
      </w:r>
      <w:r w:rsidR="00396682">
        <w:rPr>
          <w:szCs w:val="24"/>
        </w:rPr>
        <w:t xml:space="preserve"> sociedad en general (OECD</w:t>
      </w:r>
      <w:r w:rsidR="00BB2DBC">
        <w:rPr>
          <w:szCs w:val="24"/>
        </w:rPr>
        <w:t>, 201</w:t>
      </w:r>
      <w:r w:rsidR="00396682">
        <w:rPr>
          <w:szCs w:val="24"/>
        </w:rPr>
        <w:t>5</w:t>
      </w:r>
      <w:r w:rsidRPr="00D82388">
        <w:rPr>
          <w:szCs w:val="24"/>
        </w:rPr>
        <w:t>)</w:t>
      </w:r>
    </w:p>
    <w:p w14:paraId="1F96CB44" w14:textId="77777777" w:rsidR="00A64DCE" w:rsidRDefault="00A64DCE" w:rsidP="00D7178B">
      <w:pPr>
        <w:pStyle w:val="Sinespaciado"/>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652DEA" w:rsidRPr="00C824CC">
        <w:rPr>
          <w:rStyle w:val="Ttulo1Car"/>
          <w:rFonts w:ascii="Times New Roman" w:hAnsi="Times New Roman" w:cs="Times New Roman"/>
          <w:smallCaps/>
          <w:color w:val="auto"/>
          <w:sz w:val="24"/>
          <w:szCs w:val="24"/>
        </w:rPr>
        <w:t>Metodología</w:t>
      </w:r>
      <w:r w:rsidR="00652DEA" w:rsidRPr="00FF29AE">
        <w:rPr>
          <w:rFonts w:ascii="Times New Roman" w:hAnsi="Times New Roman" w:cs="Times New Roman"/>
          <w:sz w:val="24"/>
          <w:szCs w:val="24"/>
          <w:lang w:val="es-MX"/>
        </w:rPr>
        <w:t xml:space="preserve"> </w:t>
      </w:r>
    </w:p>
    <w:p w14:paraId="7635B6AA" w14:textId="77777777" w:rsidR="00626DA9" w:rsidRDefault="00626DA9" w:rsidP="00D7178B">
      <w:pPr>
        <w:pStyle w:val="Sinespaciado"/>
        <w:jc w:val="both"/>
        <w:rPr>
          <w:rFonts w:ascii="Times New Roman" w:hAnsi="Times New Roman" w:cs="Times New Roman"/>
          <w:sz w:val="24"/>
          <w:szCs w:val="24"/>
          <w:lang w:val="es-MX"/>
        </w:rPr>
      </w:pPr>
    </w:p>
    <w:p w14:paraId="67894F80" w14:textId="77777777" w:rsidR="006E2D08" w:rsidRDefault="00626DA9" w:rsidP="00626DA9">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metodología del proyecto OIL es mixta con un enf</w:t>
      </w:r>
      <w:r w:rsidR="00BB2DBC">
        <w:rPr>
          <w:rFonts w:ascii="Times New Roman" w:hAnsi="Times New Roman" w:cs="Times New Roman"/>
          <w:sz w:val="24"/>
          <w:szCs w:val="24"/>
          <w:lang w:val="es-MX"/>
        </w:rPr>
        <w:t>oque cualitativo y cuantitativo.</w:t>
      </w:r>
    </w:p>
    <w:p w14:paraId="413EAEA8" w14:textId="77777777" w:rsidR="006E2D08" w:rsidRDefault="006E2D08" w:rsidP="00626DA9">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3.1 Cobertura Geográfica</w:t>
      </w:r>
    </w:p>
    <w:p w14:paraId="59BC3657" w14:textId="77777777" w:rsidR="00626DA9" w:rsidRPr="00626DA9" w:rsidRDefault="00626DA9" w:rsidP="00626DA9">
      <w:pPr>
        <w:spacing w:line="360" w:lineRule="auto"/>
        <w:jc w:val="both"/>
        <w:rPr>
          <w:rFonts w:ascii="Times New Roman" w:hAnsi="Times New Roman" w:cs="Times New Roman"/>
          <w:sz w:val="24"/>
          <w:szCs w:val="24"/>
          <w:lang w:val="es-MX"/>
        </w:rPr>
      </w:pPr>
      <w:r w:rsidRPr="00626DA9">
        <w:rPr>
          <w:rFonts w:ascii="Times New Roman" w:hAnsi="Times New Roman" w:cs="Times New Roman"/>
          <w:sz w:val="24"/>
          <w:szCs w:val="24"/>
        </w:rPr>
        <w:t xml:space="preserve">En esta primera etapa del proyecto fueron seleccionados tres localidades: Santiago Papasquiaro, Tepehuanes y Santa María del Oro. </w:t>
      </w:r>
    </w:p>
    <w:p w14:paraId="0339A933" w14:textId="77777777" w:rsidR="00626DA9" w:rsidRPr="00626DA9" w:rsidRDefault="006E2D08" w:rsidP="00626DA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626DA9" w:rsidRPr="00626DA9">
        <w:rPr>
          <w:rFonts w:ascii="Times New Roman" w:hAnsi="Times New Roman" w:cs="Times New Roman"/>
          <w:sz w:val="24"/>
          <w:szCs w:val="24"/>
        </w:rPr>
        <w:t>Participantes del Proyecto</w:t>
      </w:r>
    </w:p>
    <w:p w14:paraId="7AC3FB9A" w14:textId="5EB00E4F" w:rsidR="00626DA9" w:rsidRPr="00626DA9" w:rsidRDefault="00626DA9" w:rsidP="00626DA9">
      <w:pPr>
        <w:spacing w:after="240" w:line="360" w:lineRule="auto"/>
        <w:jc w:val="both"/>
        <w:rPr>
          <w:rFonts w:ascii="Times New Roman" w:hAnsi="Times New Roman" w:cs="Times New Roman"/>
          <w:sz w:val="24"/>
          <w:szCs w:val="24"/>
        </w:rPr>
      </w:pPr>
      <w:r w:rsidRPr="00626DA9">
        <w:rPr>
          <w:rFonts w:ascii="Times New Roman" w:hAnsi="Times New Roman" w:cs="Times New Roman"/>
          <w:sz w:val="24"/>
          <w:szCs w:val="24"/>
        </w:rPr>
        <w:t xml:space="preserve">Se cuenta con una coordinación académica integrada por cuatro profesores de la UJED, cinco </w:t>
      </w:r>
      <w:r w:rsidR="00372977">
        <w:rPr>
          <w:rFonts w:ascii="Times New Roman" w:hAnsi="Times New Roman" w:cs="Times New Roman"/>
          <w:sz w:val="24"/>
          <w:szCs w:val="24"/>
        </w:rPr>
        <w:t xml:space="preserve">estudiantes que realizará su tesis </w:t>
      </w:r>
      <w:r w:rsidRPr="00626DA9">
        <w:rPr>
          <w:rFonts w:ascii="Times New Roman" w:hAnsi="Times New Roman" w:cs="Times New Roman"/>
          <w:sz w:val="24"/>
          <w:szCs w:val="24"/>
        </w:rPr>
        <w:t>de licenciatura y uno de maestría. Así como siete estudiantes que realizan su servicio social.</w:t>
      </w:r>
      <w:r>
        <w:rPr>
          <w:rFonts w:ascii="Times New Roman" w:hAnsi="Times New Roman" w:cs="Times New Roman"/>
          <w:sz w:val="24"/>
          <w:szCs w:val="24"/>
        </w:rPr>
        <w:t xml:space="preserve"> </w:t>
      </w:r>
      <w:r w:rsidRPr="00626DA9">
        <w:rPr>
          <w:rFonts w:ascii="Times New Roman" w:hAnsi="Times New Roman" w:cs="Times New Roman"/>
          <w:sz w:val="24"/>
          <w:szCs w:val="24"/>
        </w:rPr>
        <w:t xml:space="preserve">Se realizó la capacitación a los encuestadores quienes fueron los </w:t>
      </w:r>
      <w:proofErr w:type="spellStart"/>
      <w:r w:rsidRPr="00626DA9">
        <w:rPr>
          <w:rFonts w:ascii="Times New Roman" w:hAnsi="Times New Roman" w:cs="Times New Roman"/>
          <w:sz w:val="24"/>
          <w:szCs w:val="24"/>
        </w:rPr>
        <w:t>tesistas</w:t>
      </w:r>
      <w:proofErr w:type="spellEnd"/>
      <w:r w:rsidRPr="00626DA9">
        <w:rPr>
          <w:rFonts w:ascii="Times New Roman" w:hAnsi="Times New Roman" w:cs="Times New Roman"/>
          <w:sz w:val="24"/>
          <w:szCs w:val="24"/>
        </w:rPr>
        <w:t xml:space="preserve"> y estudiantes de servicio social.</w:t>
      </w:r>
    </w:p>
    <w:p w14:paraId="278924ED" w14:textId="77777777" w:rsidR="00626DA9" w:rsidRPr="00626DA9" w:rsidRDefault="006E2D08" w:rsidP="00626DA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626DA9" w:rsidRPr="00626DA9">
        <w:rPr>
          <w:rFonts w:ascii="Times New Roman" w:hAnsi="Times New Roman" w:cs="Times New Roman"/>
          <w:sz w:val="24"/>
          <w:szCs w:val="24"/>
        </w:rPr>
        <w:t>Dinámica de la operatividad del proyecto</w:t>
      </w:r>
    </w:p>
    <w:p w14:paraId="5682B2B4" w14:textId="77777777" w:rsidR="00626DA9" w:rsidRPr="00626DA9" w:rsidRDefault="00626DA9" w:rsidP="00626DA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Se realizaron</w:t>
      </w:r>
      <w:r w:rsidRPr="00626DA9">
        <w:rPr>
          <w:rFonts w:ascii="Times New Roman" w:hAnsi="Times New Roman" w:cs="Times New Roman"/>
          <w:sz w:val="24"/>
          <w:szCs w:val="24"/>
        </w:rPr>
        <w:t xml:space="preserve"> reuniones con los responsables del sistema virtual de cada una de estas localidades para dar a conocer el proyecto y poner en marcha las acciones. Posteriormente se realizaron visitas de reconocimiento del lugar, en las cuales se tuvo reuniones con las </w:t>
      </w:r>
      <w:r w:rsidRPr="00626DA9">
        <w:rPr>
          <w:rFonts w:ascii="Times New Roman" w:hAnsi="Times New Roman" w:cs="Times New Roman"/>
          <w:sz w:val="24"/>
          <w:szCs w:val="24"/>
        </w:rPr>
        <w:lastRenderedPageBreak/>
        <w:t>presidencias municipales para explicar el proyecto y solicitar su apoyo para la aplicación final de los instrumentos.</w:t>
      </w:r>
    </w:p>
    <w:p w14:paraId="6CECBBFA" w14:textId="77777777" w:rsidR="00626DA9" w:rsidRPr="00626DA9" w:rsidRDefault="006E2D08" w:rsidP="00626DA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3.4 I</w:t>
      </w:r>
      <w:r w:rsidR="00626DA9" w:rsidRPr="00626DA9">
        <w:rPr>
          <w:rFonts w:ascii="Times New Roman" w:hAnsi="Times New Roman" w:cs="Times New Roman"/>
          <w:sz w:val="24"/>
          <w:szCs w:val="24"/>
        </w:rPr>
        <w:t>nstrumento</w:t>
      </w:r>
      <w:r>
        <w:rPr>
          <w:rFonts w:ascii="Times New Roman" w:hAnsi="Times New Roman" w:cs="Times New Roman"/>
          <w:sz w:val="24"/>
          <w:szCs w:val="24"/>
        </w:rPr>
        <w:t>s</w:t>
      </w:r>
    </w:p>
    <w:p w14:paraId="4857EAC5" w14:textId="77777777" w:rsidR="00626DA9" w:rsidRPr="00626DA9" w:rsidRDefault="00626DA9" w:rsidP="00626DA9">
      <w:pPr>
        <w:spacing w:after="240" w:line="360" w:lineRule="auto"/>
        <w:jc w:val="both"/>
        <w:rPr>
          <w:rFonts w:ascii="Times New Roman" w:hAnsi="Times New Roman" w:cs="Times New Roman"/>
          <w:sz w:val="24"/>
          <w:szCs w:val="24"/>
        </w:rPr>
      </w:pPr>
      <w:r w:rsidRPr="00626DA9">
        <w:rPr>
          <w:rFonts w:ascii="Times New Roman" w:hAnsi="Times New Roman" w:cs="Times New Roman"/>
          <w:sz w:val="24"/>
          <w:szCs w:val="24"/>
        </w:rPr>
        <w:t>Durante los meses de junio y julio se diseñaron tres instrumentos: Expectativas de los Estudiantes de Educación Media Superior (EEMS) dirigido a estudiantes de quinto semestre del ciclo escolar 2017-208, Encuesta a hogares (EH) dirigido a los padres de familia de los estudiantes de quinto semestre y una encuesta para empleadores (EE) de las localidades mencionadas.  Acorde con los datos proporcionados por las escuelas de educación media superior y analizando la factibilidad y disposición de los directores de los planteles se aplicó censo para el caso de la encuesta a estudiantes. Para la EE los directores citaron a reunión a los padres de familia y para los empleadores se convocó a un foro de empleadores, se obtuvo una respuesta positiva para el caso de Santa María del Oro para Tepehuanes y Santiago Papasquiaro se fue directamente a la dirección de los empleadores más rep</w:t>
      </w:r>
      <w:r>
        <w:rPr>
          <w:rFonts w:ascii="Times New Roman" w:hAnsi="Times New Roman" w:cs="Times New Roman"/>
          <w:sz w:val="24"/>
          <w:szCs w:val="24"/>
        </w:rPr>
        <w:t xml:space="preserve">resentativos de las localidades. </w:t>
      </w:r>
      <w:r w:rsidRPr="00626DA9">
        <w:rPr>
          <w:rFonts w:ascii="Times New Roman" w:hAnsi="Times New Roman" w:cs="Times New Roman"/>
          <w:sz w:val="24"/>
          <w:szCs w:val="24"/>
        </w:rPr>
        <w:t>Los instrumentos fueron digitalizados y están disponibles en la página de la UJED. Por cuestiones de conectividad en las localidades se realizó la aplicación final en papel y lápiz.</w:t>
      </w:r>
    </w:p>
    <w:p w14:paraId="1C16C760" w14:textId="77777777" w:rsidR="00626DA9" w:rsidRPr="00626DA9" w:rsidRDefault="006E2D08" w:rsidP="00626DA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3.5 A</w:t>
      </w:r>
      <w:r w:rsidR="00626DA9" w:rsidRPr="00626DA9">
        <w:rPr>
          <w:rFonts w:ascii="Times New Roman" w:hAnsi="Times New Roman" w:cs="Times New Roman"/>
          <w:sz w:val="24"/>
          <w:szCs w:val="24"/>
        </w:rPr>
        <w:t>plicación final</w:t>
      </w:r>
    </w:p>
    <w:p w14:paraId="086E673E" w14:textId="77777777" w:rsidR="00626DA9" w:rsidRPr="00626DA9" w:rsidRDefault="00626DA9" w:rsidP="00626DA9">
      <w:pPr>
        <w:spacing w:after="240" w:line="360" w:lineRule="auto"/>
        <w:jc w:val="both"/>
        <w:rPr>
          <w:rFonts w:ascii="Times New Roman" w:hAnsi="Times New Roman" w:cs="Times New Roman"/>
          <w:sz w:val="24"/>
          <w:szCs w:val="24"/>
        </w:rPr>
      </w:pPr>
      <w:r w:rsidRPr="00626DA9">
        <w:rPr>
          <w:rFonts w:ascii="Times New Roman" w:hAnsi="Times New Roman" w:cs="Times New Roman"/>
          <w:sz w:val="24"/>
          <w:szCs w:val="24"/>
        </w:rPr>
        <w:t xml:space="preserve">La </w:t>
      </w:r>
      <w:r>
        <w:rPr>
          <w:rFonts w:ascii="Times New Roman" w:hAnsi="Times New Roman" w:cs="Times New Roman"/>
          <w:sz w:val="24"/>
          <w:szCs w:val="24"/>
        </w:rPr>
        <w:t xml:space="preserve">aplicación final se realizó del 28 de agosto al ocho de septiembre. </w:t>
      </w:r>
      <w:r w:rsidR="00064109">
        <w:rPr>
          <w:rFonts w:ascii="Times New Roman" w:hAnsi="Times New Roman" w:cs="Times New Roman"/>
          <w:sz w:val="24"/>
          <w:szCs w:val="24"/>
        </w:rPr>
        <w:t>Se aplicó en CECYTED del poblado de Chinacates, en</w:t>
      </w:r>
      <w:r w:rsidRPr="00626DA9">
        <w:rPr>
          <w:rFonts w:ascii="Times New Roman" w:hAnsi="Times New Roman" w:cs="Times New Roman"/>
          <w:sz w:val="24"/>
          <w:szCs w:val="24"/>
        </w:rPr>
        <w:t xml:space="preserve"> Santiago Papasquiaro se procedió a la aplicación de encuestas a los alumnos del quinto semestre de COBAED plantel #10 y del CBTF plantel #2 turno matutino, por la tarde se realizó igualmente las encuestas a los grupos de quinto semestre del COBAED plantel #10 turno vespertino.</w:t>
      </w:r>
      <w:r w:rsidR="00064109">
        <w:rPr>
          <w:rFonts w:ascii="Times New Roman" w:hAnsi="Times New Roman" w:cs="Times New Roman"/>
          <w:sz w:val="24"/>
          <w:szCs w:val="24"/>
        </w:rPr>
        <w:t xml:space="preserve"> Se realizó la reunión con padres de familia</w:t>
      </w:r>
    </w:p>
    <w:p w14:paraId="1BCD926D" w14:textId="77777777" w:rsidR="00626DA9" w:rsidRPr="00064109" w:rsidRDefault="00626DA9" w:rsidP="00626DA9">
      <w:pPr>
        <w:spacing w:after="240" w:line="360" w:lineRule="auto"/>
        <w:jc w:val="both"/>
        <w:rPr>
          <w:rFonts w:ascii="Times New Roman" w:hAnsi="Times New Roman" w:cs="Times New Roman"/>
          <w:sz w:val="24"/>
          <w:szCs w:val="24"/>
        </w:rPr>
      </w:pPr>
      <w:r w:rsidRPr="00626DA9">
        <w:rPr>
          <w:rFonts w:ascii="Times New Roman" w:hAnsi="Times New Roman" w:cs="Times New Roman"/>
          <w:sz w:val="24"/>
          <w:szCs w:val="24"/>
        </w:rPr>
        <w:t>El miércoles 30 de agosto, se dio una reunión con el Secretario de Desarrollo Económico de la Presidencia Municipal de Santiago para llevar a cabo la aplicación de encuestas a empleadores, el cual asignó a una persona para guiar a cada uno de nosotros a las empresas</w:t>
      </w:r>
    </w:p>
    <w:p w14:paraId="0E9E0ACC" w14:textId="77777777" w:rsidR="00626DA9" w:rsidRPr="00064109" w:rsidRDefault="00064109" w:rsidP="00626DA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Tepehuanes el j</w:t>
      </w:r>
      <w:r w:rsidR="00626DA9" w:rsidRPr="00626DA9">
        <w:rPr>
          <w:rFonts w:ascii="Times New Roman" w:hAnsi="Times New Roman" w:cs="Times New Roman"/>
          <w:sz w:val="24"/>
          <w:szCs w:val="24"/>
        </w:rPr>
        <w:t xml:space="preserve">ueves 31, realizamos la aplicación de encuestas a estudiantes del COBAED sin ningún problema. </w:t>
      </w:r>
      <w:r>
        <w:rPr>
          <w:rFonts w:ascii="Times New Roman" w:hAnsi="Times New Roman" w:cs="Times New Roman"/>
          <w:sz w:val="24"/>
          <w:szCs w:val="24"/>
        </w:rPr>
        <w:t>P</w:t>
      </w:r>
      <w:r w:rsidR="00626DA9" w:rsidRPr="00626DA9">
        <w:rPr>
          <w:rFonts w:ascii="Times New Roman" w:hAnsi="Times New Roman" w:cs="Times New Roman"/>
          <w:sz w:val="24"/>
          <w:szCs w:val="24"/>
        </w:rPr>
        <w:t xml:space="preserve">ara finalizar, se realizó un foro para padres de familia </w:t>
      </w:r>
      <w:proofErr w:type="gramStart"/>
      <w:r w:rsidR="00626DA9" w:rsidRPr="00626DA9">
        <w:rPr>
          <w:rFonts w:ascii="Times New Roman" w:hAnsi="Times New Roman" w:cs="Times New Roman"/>
          <w:sz w:val="24"/>
          <w:szCs w:val="24"/>
        </w:rPr>
        <w:t>de el</w:t>
      </w:r>
      <w:proofErr w:type="gramEnd"/>
      <w:r w:rsidR="00626DA9" w:rsidRPr="00626DA9">
        <w:rPr>
          <w:rFonts w:ascii="Times New Roman" w:hAnsi="Times New Roman" w:cs="Times New Roman"/>
          <w:sz w:val="24"/>
          <w:szCs w:val="24"/>
        </w:rPr>
        <w:t xml:space="preserve"> mismo plantel para la aplicación de las encuestas.</w:t>
      </w:r>
    </w:p>
    <w:p w14:paraId="587AA13A" w14:textId="77777777" w:rsidR="00626DA9" w:rsidRPr="00626DA9" w:rsidRDefault="00064109" w:rsidP="00626DA9">
      <w:pPr>
        <w:spacing w:before="100" w:beforeAutospacing="1" w:after="24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 xml:space="preserve">En </w:t>
      </w:r>
      <w:r w:rsidR="00626DA9" w:rsidRPr="00626DA9">
        <w:rPr>
          <w:rFonts w:ascii="Times New Roman" w:eastAsia="Times New Roman" w:hAnsi="Times New Roman" w:cs="Times New Roman"/>
          <w:color w:val="000000"/>
          <w:sz w:val="24"/>
          <w:szCs w:val="24"/>
          <w:lang w:eastAsia="es-MX"/>
        </w:rPr>
        <w:t>Santa María del Oro, municipio en el cual se aplicarían encuestas a alumnos y padres de familia del COBAED plantel #22 y CBTA plantel #64</w:t>
      </w:r>
      <w:r>
        <w:rPr>
          <w:rFonts w:ascii="Times New Roman" w:eastAsia="Times New Roman" w:hAnsi="Times New Roman" w:cs="Times New Roman"/>
          <w:color w:val="000000"/>
          <w:sz w:val="24"/>
          <w:szCs w:val="24"/>
          <w:lang w:eastAsia="es-MX"/>
        </w:rPr>
        <w:t xml:space="preserve">. </w:t>
      </w:r>
      <w:r w:rsidR="00626DA9" w:rsidRPr="00626DA9">
        <w:rPr>
          <w:rFonts w:ascii="Times New Roman" w:eastAsia="Times New Roman" w:hAnsi="Times New Roman" w:cs="Times New Roman"/>
          <w:color w:val="000000"/>
          <w:sz w:val="24"/>
          <w:szCs w:val="24"/>
          <w:lang w:eastAsia="es-MX"/>
        </w:rPr>
        <w:t xml:space="preserve"> Por la tarde, se realizó un foro con los </w:t>
      </w:r>
      <w:r>
        <w:rPr>
          <w:rFonts w:ascii="Times New Roman" w:eastAsia="Times New Roman" w:hAnsi="Times New Roman" w:cs="Times New Roman"/>
          <w:color w:val="000000"/>
          <w:sz w:val="24"/>
          <w:szCs w:val="24"/>
          <w:lang w:eastAsia="es-MX"/>
        </w:rPr>
        <w:t xml:space="preserve">empleadores </w:t>
      </w:r>
      <w:r w:rsidR="00626DA9" w:rsidRPr="00626DA9">
        <w:rPr>
          <w:rFonts w:ascii="Times New Roman" w:eastAsia="Times New Roman" w:hAnsi="Times New Roman" w:cs="Times New Roman"/>
          <w:color w:val="000000"/>
          <w:sz w:val="24"/>
          <w:szCs w:val="24"/>
          <w:lang w:eastAsia="es-MX"/>
        </w:rPr>
        <w:t>de la zona y algunos representantes de instituciones públicas, y se procedió con la aplicación de encuestas, pasando a realizar una conferencia con ellos tomando como puntos de conversación las necesidades de trabajo, de estudio y necesidades económicas de la región, así como su punto de vista del proyecto y el apoyo que brindarían a éste.</w:t>
      </w:r>
    </w:p>
    <w:p w14:paraId="74753731" w14:textId="77777777" w:rsidR="00626DA9" w:rsidRPr="00626DA9" w:rsidRDefault="00626DA9" w:rsidP="00626DA9">
      <w:pPr>
        <w:spacing w:after="240" w:line="360" w:lineRule="auto"/>
        <w:jc w:val="both"/>
        <w:rPr>
          <w:rFonts w:ascii="Times New Roman" w:hAnsi="Times New Roman" w:cs="Times New Roman"/>
          <w:b/>
          <w:sz w:val="24"/>
          <w:szCs w:val="24"/>
        </w:rPr>
      </w:pPr>
      <w:r w:rsidRPr="00626DA9">
        <w:rPr>
          <w:rFonts w:ascii="Times New Roman" w:hAnsi="Times New Roman" w:cs="Times New Roman"/>
          <w:b/>
          <w:sz w:val="24"/>
          <w:szCs w:val="24"/>
        </w:rPr>
        <w:t>Uso y trato de la información</w:t>
      </w:r>
    </w:p>
    <w:p w14:paraId="510B65CD" w14:textId="28B0B03A" w:rsidR="00626DA9" w:rsidRPr="00626DA9" w:rsidRDefault="6EF847A3" w:rsidP="6EF847A3">
      <w:pPr>
        <w:spacing w:after="240" w:line="360" w:lineRule="auto"/>
        <w:jc w:val="both"/>
        <w:rPr>
          <w:rFonts w:ascii="Times New Roman" w:hAnsi="Times New Roman" w:cs="Times New Roman"/>
          <w:sz w:val="24"/>
          <w:szCs w:val="24"/>
        </w:rPr>
      </w:pPr>
      <w:r w:rsidRPr="6EF847A3">
        <w:rPr>
          <w:rFonts w:ascii="Times New Roman" w:hAnsi="Times New Roman" w:cs="Times New Roman"/>
          <w:sz w:val="24"/>
          <w:szCs w:val="24"/>
        </w:rPr>
        <w:t xml:space="preserve">Se diseñó las bases de datos en hojas de cálculo la cual permitió exportar a </w:t>
      </w:r>
      <w:r w:rsidRPr="6EF847A3">
        <w:rPr>
          <w:rFonts w:ascii="Times New Roman" w:hAnsi="Times New Roman" w:cs="Times New Roman"/>
          <w:i/>
          <w:iCs/>
          <w:sz w:val="24"/>
          <w:szCs w:val="24"/>
        </w:rPr>
        <w:t>R y SPSS.</w:t>
      </w:r>
      <w:r w:rsidRPr="6EF847A3">
        <w:rPr>
          <w:rFonts w:ascii="Times New Roman" w:hAnsi="Times New Roman" w:cs="Times New Roman"/>
          <w:sz w:val="24"/>
          <w:szCs w:val="24"/>
        </w:rPr>
        <w:t xml:space="preserve"> Durante el mes de septiembre se realizó el taller validación y procesamiento de información, para posterio</w:t>
      </w:r>
      <w:r w:rsidR="00EC5075">
        <w:rPr>
          <w:rFonts w:ascii="Times New Roman" w:hAnsi="Times New Roman" w:cs="Times New Roman"/>
          <w:sz w:val="24"/>
          <w:szCs w:val="24"/>
        </w:rPr>
        <w:t>r</w:t>
      </w:r>
      <w:r w:rsidRPr="6EF847A3">
        <w:rPr>
          <w:rFonts w:ascii="Times New Roman" w:hAnsi="Times New Roman" w:cs="Times New Roman"/>
          <w:sz w:val="24"/>
          <w:szCs w:val="24"/>
        </w:rPr>
        <w:t xml:space="preserve">mente iniciar el análisis de los datos. </w:t>
      </w:r>
    </w:p>
    <w:p w14:paraId="3AE95028" w14:textId="77777777" w:rsidR="00A64DCE" w:rsidRPr="00FF29AE" w:rsidRDefault="00A64DCE" w:rsidP="00D7178B">
      <w:pPr>
        <w:pStyle w:val="Sinespaciado"/>
        <w:jc w:val="both"/>
        <w:rPr>
          <w:rFonts w:ascii="Times New Roman" w:hAnsi="Times New Roman" w:cs="Times New Roman"/>
          <w:sz w:val="24"/>
          <w:szCs w:val="24"/>
          <w:lang w:val="es-MX"/>
        </w:rPr>
      </w:pPr>
    </w:p>
    <w:p w14:paraId="1470411A" w14:textId="77777777" w:rsidR="00144A8B" w:rsidRPr="003C3922" w:rsidRDefault="00283FA0" w:rsidP="003C3922">
      <w:pPr>
        <w:pStyle w:val="Sinespaciado"/>
        <w:jc w:val="both"/>
        <w:rPr>
          <w:rFonts w:ascii="Times New Roman" w:hAnsi="Times New Roman" w:cs="Times New Roman"/>
          <w:sz w:val="24"/>
          <w:szCs w:val="24"/>
          <w:lang w:val="es-MX"/>
        </w:rPr>
      </w:pPr>
      <w:r>
        <w:rPr>
          <w:rStyle w:val="Ttulo1Car"/>
          <w:rFonts w:ascii="Times New Roman" w:hAnsi="Times New Roman" w:cs="Times New Roman"/>
          <w:color w:val="auto"/>
          <w:sz w:val="24"/>
          <w:szCs w:val="24"/>
        </w:rPr>
        <w:t>IV</w:t>
      </w:r>
      <w:r w:rsidR="008F6C56" w:rsidRPr="00652DEA">
        <w:rPr>
          <w:rStyle w:val="Ttulo1Car"/>
          <w:rFonts w:ascii="Times New Roman" w:hAnsi="Times New Roman" w:cs="Times New Roman"/>
          <w:color w:val="auto"/>
          <w:sz w:val="24"/>
          <w:szCs w:val="24"/>
        </w:rPr>
        <w:t xml:space="preserve">. </w:t>
      </w:r>
      <w:r w:rsidR="008F6C56" w:rsidRPr="00C824CC">
        <w:rPr>
          <w:rStyle w:val="Ttulo1Car"/>
          <w:rFonts w:ascii="Times New Roman" w:hAnsi="Times New Roman" w:cs="Times New Roman"/>
          <w:smallCaps/>
          <w:color w:val="auto"/>
          <w:sz w:val="24"/>
          <w:szCs w:val="24"/>
        </w:rPr>
        <w:t>Resultados</w:t>
      </w:r>
      <w:r w:rsidR="008F6C56" w:rsidRPr="00FF29AE">
        <w:rPr>
          <w:rFonts w:ascii="Times New Roman" w:hAnsi="Times New Roman" w:cs="Times New Roman"/>
          <w:sz w:val="24"/>
          <w:szCs w:val="24"/>
          <w:lang w:val="es-MX"/>
        </w:rPr>
        <w:t xml:space="preserve"> </w:t>
      </w:r>
    </w:p>
    <w:p w14:paraId="205ECAAF" w14:textId="77777777" w:rsidR="00D7178B" w:rsidRPr="00FF29AE" w:rsidRDefault="00D7178B" w:rsidP="00D7178B">
      <w:pPr>
        <w:pStyle w:val="Prrafodelista"/>
        <w:tabs>
          <w:tab w:val="left" w:pos="1305"/>
        </w:tabs>
        <w:ind w:left="360"/>
        <w:jc w:val="both"/>
        <w:rPr>
          <w:rFonts w:ascii="Times New Roman" w:hAnsi="Times New Roman" w:cs="Times New Roman"/>
          <w:sz w:val="24"/>
          <w:szCs w:val="24"/>
          <w:lang w:val="es-MX"/>
        </w:rPr>
      </w:pPr>
    </w:p>
    <w:p w14:paraId="40BA35D6" w14:textId="211CFFDF" w:rsidR="00D7178B" w:rsidRDefault="00D7178B" w:rsidP="00EC5075">
      <w:pPr>
        <w:pStyle w:val="Prrafodelista"/>
        <w:tabs>
          <w:tab w:val="left" w:pos="1305"/>
        </w:tabs>
        <w:spacing w:line="360" w:lineRule="auto"/>
        <w:ind w:left="0"/>
        <w:jc w:val="both"/>
        <w:rPr>
          <w:rFonts w:ascii="Times New Roman" w:hAnsi="Times New Roman" w:cs="Times New Roman"/>
          <w:sz w:val="24"/>
          <w:szCs w:val="24"/>
          <w:lang w:val="es-MX"/>
        </w:rPr>
      </w:pPr>
      <w:r w:rsidRPr="00FF29AE">
        <w:rPr>
          <w:rFonts w:ascii="Times New Roman" w:hAnsi="Times New Roman" w:cs="Times New Roman"/>
          <w:sz w:val="24"/>
          <w:szCs w:val="24"/>
          <w:lang w:val="es-MX"/>
        </w:rPr>
        <w:t xml:space="preserve"> </w:t>
      </w:r>
      <w:r w:rsidR="00EC5075">
        <w:rPr>
          <w:rFonts w:ascii="Times New Roman" w:hAnsi="Times New Roman" w:cs="Times New Roman"/>
          <w:sz w:val="24"/>
          <w:szCs w:val="24"/>
          <w:lang w:val="es-MX"/>
        </w:rPr>
        <w:t xml:space="preserve">El análisis de la </w:t>
      </w:r>
      <w:r w:rsidR="00E06F79">
        <w:rPr>
          <w:rFonts w:ascii="Times New Roman" w:hAnsi="Times New Roman" w:cs="Times New Roman"/>
          <w:sz w:val="24"/>
          <w:szCs w:val="24"/>
          <w:lang w:val="es-MX"/>
        </w:rPr>
        <w:t xml:space="preserve">información está en proceso. Hasta el momento se cuenta con la base de cada una de las encuestas. </w:t>
      </w:r>
      <w:r w:rsidR="00FD2383">
        <w:rPr>
          <w:rFonts w:ascii="Times New Roman" w:hAnsi="Times New Roman" w:cs="Times New Roman"/>
          <w:sz w:val="24"/>
          <w:szCs w:val="24"/>
          <w:lang w:val="es-MX"/>
        </w:rPr>
        <w:t xml:space="preserve">Enseguida se presentan </w:t>
      </w:r>
      <w:r w:rsidR="008B7BB5">
        <w:rPr>
          <w:rFonts w:ascii="Times New Roman" w:hAnsi="Times New Roman" w:cs="Times New Roman"/>
          <w:sz w:val="24"/>
          <w:szCs w:val="24"/>
          <w:lang w:val="es-MX"/>
        </w:rPr>
        <w:t>algunos datos descriptivos de las mismas.</w:t>
      </w:r>
    </w:p>
    <w:p w14:paraId="011156AE" w14:textId="77777777" w:rsidR="008B7BB5" w:rsidRDefault="008B7BB5" w:rsidP="00EC5075">
      <w:pPr>
        <w:pStyle w:val="Prrafodelista"/>
        <w:tabs>
          <w:tab w:val="left" w:pos="1305"/>
        </w:tabs>
        <w:spacing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El mayor porcentaje de estudiantes de quinto semestre se localiza en el COBAED #10 localizado en Santiago Papasquiaro. (</w:t>
      </w:r>
      <w:proofErr w:type="gramStart"/>
      <w:r>
        <w:rPr>
          <w:rFonts w:ascii="Times New Roman" w:hAnsi="Times New Roman" w:cs="Times New Roman"/>
          <w:sz w:val="24"/>
          <w:szCs w:val="24"/>
          <w:lang w:val="es-MX"/>
        </w:rPr>
        <w:t>ver</w:t>
      </w:r>
      <w:proofErr w:type="gramEnd"/>
      <w:r>
        <w:rPr>
          <w:rFonts w:ascii="Times New Roman" w:hAnsi="Times New Roman" w:cs="Times New Roman"/>
          <w:sz w:val="24"/>
          <w:szCs w:val="24"/>
          <w:lang w:val="es-MX"/>
        </w:rPr>
        <w:t xml:space="preserve"> tabla 1).</w:t>
      </w:r>
    </w:p>
    <w:tbl>
      <w:tblPr>
        <w:tblW w:w="5690" w:type="dxa"/>
        <w:tblBorders>
          <w:bottom w:val="single" w:sz="4" w:space="0" w:color="auto"/>
        </w:tblBorders>
        <w:tblLayout w:type="fixed"/>
        <w:tblCellMar>
          <w:left w:w="0" w:type="dxa"/>
          <w:right w:w="0" w:type="dxa"/>
        </w:tblCellMar>
        <w:tblLook w:val="0000" w:firstRow="0" w:lastRow="0" w:firstColumn="0" w:lastColumn="0" w:noHBand="0" w:noVBand="0"/>
      </w:tblPr>
      <w:tblGrid>
        <w:gridCol w:w="735"/>
        <w:gridCol w:w="2570"/>
        <w:gridCol w:w="1208"/>
        <w:gridCol w:w="1177"/>
      </w:tblGrid>
      <w:tr w:rsidR="008B7BB5" w:rsidRPr="005615A8" w14:paraId="0A33A945" w14:textId="77777777" w:rsidTr="6EF847A3">
        <w:trPr>
          <w:cantSplit/>
        </w:trPr>
        <w:tc>
          <w:tcPr>
            <w:tcW w:w="5688" w:type="dxa"/>
            <w:gridSpan w:val="4"/>
            <w:tcBorders>
              <w:bottom w:val="single" w:sz="4" w:space="0" w:color="auto"/>
            </w:tcBorders>
            <w:shd w:val="clear" w:color="auto" w:fill="FFFFFF" w:themeFill="background1"/>
          </w:tcPr>
          <w:p w14:paraId="22393417" w14:textId="77777777" w:rsidR="008B7BB5" w:rsidRPr="00FD2383" w:rsidRDefault="008B7BB5" w:rsidP="008B7BB5">
            <w:pPr>
              <w:autoSpaceDE w:val="0"/>
              <w:autoSpaceDN w:val="0"/>
              <w:adjustRightInd w:val="0"/>
              <w:spacing w:after="0" w:line="320" w:lineRule="atLeast"/>
              <w:ind w:left="60" w:right="60"/>
              <w:rPr>
                <w:rFonts w:ascii="Times New Roman" w:hAnsi="Times New Roman" w:cs="Times New Roman"/>
                <w:bCs/>
                <w:color w:val="000000"/>
                <w:sz w:val="24"/>
                <w:szCs w:val="24"/>
              </w:rPr>
            </w:pPr>
            <w:r w:rsidRPr="00FD2383">
              <w:rPr>
                <w:rFonts w:ascii="Times New Roman" w:hAnsi="Times New Roman" w:cs="Times New Roman"/>
                <w:bCs/>
                <w:color w:val="000000"/>
                <w:sz w:val="24"/>
                <w:szCs w:val="24"/>
              </w:rPr>
              <w:t xml:space="preserve">Tabla 1. </w:t>
            </w:r>
          </w:p>
          <w:p w14:paraId="250CB0C6" w14:textId="77777777" w:rsidR="008B7BB5" w:rsidRPr="008B7BB5" w:rsidRDefault="008B7BB5" w:rsidP="008B7BB5">
            <w:pPr>
              <w:autoSpaceDE w:val="0"/>
              <w:autoSpaceDN w:val="0"/>
              <w:adjustRightInd w:val="0"/>
              <w:spacing w:after="0" w:line="320" w:lineRule="atLeast"/>
              <w:ind w:left="60" w:right="60"/>
              <w:rPr>
                <w:rFonts w:ascii="Times New Roman" w:hAnsi="Times New Roman" w:cs="Times New Roman"/>
                <w:bCs/>
                <w:i/>
                <w:color w:val="000000"/>
                <w:sz w:val="24"/>
                <w:szCs w:val="24"/>
              </w:rPr>
            </w:pPr>
            <w:r>
              <w:rPr>
                <w:rFonts w:ascii="Times New Roman" w:hAnsi="Times New Roman" w:cs="Times New Roman"/>
                <w:bCs/>
                <w:i/>
                <w:color w:val="000000"/>
                <w:sz w:val="24"/>
                <w:szCs w:val="24"/>
              </w:rPr>
              <w:t>Número de estudiantes de quinto semestre por bachillerato</w:t>
            </w:r>
          </w:p>
        </w:tc>
      </w:tr>
      <w:tr w:rsidR="008B7BB5" w:rsidRPr="005615A8" w14:paraId="10BA106F" w14:textId="77777777" w:rsidTr="6EF847A3">
        <w:trPr>
          <w:cantSplit/>
        </w:trPr>
        <w:tc>
          <w:tcPr>
            <w:tcW w:w="3303" w:type="dxa"/>
            <w:gridSpan w:val="2"/>
            <w:tcBorders>
              <w:top w:val="single" w:sz="4" w:space="0" w:color="auto"/>
              <w:bottom w:val="nil"/>
            </w:tcBorders>
            <w:shd w:val="clear" w:color="auto" w:fill="FFFFFF" w:themeFill="background1"/>
          </w:tcPr>
          <w:p w14:paraId="2290AFD7" w14:textId="77777777" w:rsidR="008B7BB5" w:rsidRPr="005615A8" w:rsidRDefault="008B7BB5" w:rsidP="00CE0B2D">
            <w:pPr>
              <w:autoSpaceDE w:val="0"/>
              <w:autoSpaceDN w:val="0"/>
              <w:adjustRightInd w:val="0"/>
              <w:spacing w:after="0" w:line="240" w:lineRule="auto"/>
              <w:rPr>
                <w:rFonts w:ascii="Times New Roman" w:hAnsi="Times New Roman" w:cs="Times New Roman"/>
                <w:sz w:val="24"/>
                <w:szCs w:val="24"/>
              </w:rPr>
            </w:pPr>
          </w:p>
        </w:tc>
        <w:tc>
          <w:tcPr>
            <w:tcW w:w="1208" w:type="dxa"/>
            <w:tcBorders>
              <w:top w:val="single" w:sz="4" w:space="0" w:color="auto"/>
              <w:bottom w:val="nil"/>
            </w:tcBorders>
            <w:shd w:val="clear" w:color="auto" w:fill="FFFFFF" w:themeFill="background1"/>
          </w:tcPr>
          <w:p w14:paraId="227D68E9" w14:textId="77777777" w:rsidR="008B7BB5" w:rsidRPr="008B7BB5" w:rsidRDefault="6EF847A3" w:rsidP="6EF847A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rPr>
            </w:pPr>
            <w:r w:rsidRPr="6EF847A3">
              <w:rPr>
                <w:rFonts w:ascii="Times New Roman" w:hAnsi="Times New Roman" w:cs="Times New Roman"/>
                <w:color w:val="000000" w:themeColor="text1"/>
                <w:sz w:val="20"/>
                <w:szCs w:val="20"/>
              </w:rPr>
              <w:t>Frecuencia</w:t>
            </w:r>
          </w:p>
        </w:tc>
        <w:tc>
          <w:tcPr>
            <w:tcW w:w="1177" w:type="dxa"/>
            <w:tcBorders>
              <w:top w:val="single" w:sz="4" w:space="0" w:color="auto"/>
              <w:bottom w:val="nil"/>
            </w:tcBorders>
            <w:shd w:val="clear" w:color="auto" w:fill="FFFFFF" w:themeFill="background1"/>
          </w:tcPr>
          <w:p w14:paraId="07D33BEF" w14:textId="77777777" w:rsidR="008B7BB5" w:rsidRPr="008B7BB5" w:rsidRDefault="6EF847A3" w:rsidP="6EF847A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rPr>
            </w:pPr>
            <w:r w:rsidRPr="6EF847A3">
              <w:rPr>
                <w:rFonts w:ascii="Times New Roman" w:hAnsi="Times New Roman" w:cs="Times New Roman"/>
                <w:color w:val="000000" w:themeColor="text1"/>
                <w:sz w:val="20"/>
                <w:szCs w:val="20"/>
              </w:rPr>
              <w:t>Porcentaje</w:t>
            </w:r>
          </w:p>
        </w:tc>
      </w:tr>
      <w:tr w:rsidR="008B7BB5" w:rsidRPr="005615A8" w14:paraId="5ECD4102" w14:textId="77777777" w:rsidTr="6EF847A3">
        <w:trPr>
          <w:cantSplit/>
        </w:trPr>
        <w:tc>
          <w:tcPr>
            <w:tcW w:w="734" w:type="dxa"/>
            <w:vMerge w:val="restart"/>
            <w:tcBorders>
              <w:bottom w:val="nil"/>
            </w:tcBorders>
            <w:shd w:val="clear" w:color="auto" w:fill="FFFFFF" w:themeFill="background1"/>
            <w:vAlign w:val="center"/>
          </w:tcPr>
          <w:p w14:paraId="63F691AB" w14:textId="77777777" w:rsidR="008B7BB5" w:rsidRPr="005615A8" w:rsidRDefault="008B7BB5" w:rsidP="00CE0B2D">
            <w:pPr>
              <w:autoSpaceDE w:val="0"/>
              <w:autoSpaceDN w:val="0"/>
              <w:adjustRightInd w:val="0"/>
              <w:spacing w:after="0" w:line="240" w:lineRule="auto"/>
              <w:rPr>
                <w:rFonts w:ascii="Times New Roman" w:hAnsi="Times New Roman" w:cs="Times New Roman"/>
                <w:sz w:val="24"/>
                <w:szCs w:val="24"/>
              </w:rPr>
            </w:pPr>
          </w:p>
        </w:tc>
        <w:tc>
          <w:tcPr>
            <w:tcW w:w="2569" w:type="dxa"/>
            <w:tcBorders>
              <w:bottom w:val="nil"/>
            </w:tcBorders>
            <w:shd w:val="clear" w:color="auto" w:fill="FFFFFF" w:themeFill="background1"/>
            <w:vAlign w:val="center"/>
          </w:tcPr>
          <w:p w14:paraId="793BCD90" w14:textId="77777777" w:rsidR="008B7BB5" w:rsidRPr="008B7BB5" w:rsidRDefault="008B7BB5" w:rsidP="00CE0B2D">
            <w:pPr>
              <w:autoSpaceDE w:val="0"/>
              <w:autoSpaceDN w:val="0"/>
              <w:adjustRightInd w:val="0"/>
              <w:spacing w:after="0" w:line="320" w:lineRule="atLeast"/>
              <w:ind w:left="60" w:right="60"/>
              <w:rPr>
                <w:rFonts w:ascii="Times New Roman" w:hAnsi="Times New Roman" w:cs="Times New Roman"/>
                <w:color w:val="000000"/>
                <w:sz w:val="18"/>
                <w:szCs w:val="18"/>
              </w:rPr>
            </w:pPr>
            <w:r w:rsidRPr="008B7BB5">
              <w:rPr>
                <w:rFonts w:ascii="Times New Roman" w:hAnsi="Times New Roman" w:cs="Times New Roman"/>
                <w:color w:val="000000"/>
                <w:sz w:val="18"/>
                <w:szCs w:val="18"/>
              </w:rPr>
              <w:t>COBAED #10</w:t>
            </w:r>
          </w:p>
        </w:tc>
        <w:tc>
          <w:tcPr>
            <w:tcW w:w="1208" w:type="dxa"/>
            <w:tcBorders>
              <w:bottom w:val="nil"/>
            </w:tcBorders>
            <w:shd w:val="clear" w:color="auto" w:fill="FFFFFF" w:themeFill="background1"/>
          </w:tcPr>
          <w:p w14:paraId="3B1F76F9"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236</w:t>
            </w:r>
          </w:p>
        </w:tc>
        <w:tc>
          <w:tcPr>
            <w:tcW w:w="1177" w:type="dxa"/>
            <w:tcBorders>
              <w:bottom w:val="nil"/>
            </w:tcBorders>
            <w:shd w:val="clear" w:color="auto" w:fill="FFFFFF" w:themeFill="background1"/>
          </w:tcPr>
          <w:p w14:paraId="3D47F547"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41.3</w:t>
            </w:r>
          </w:p>
        </w:tc>
      </w:tr>
      <w:tr w:rsidR="008B7BB5" w:rsidRPr="005615A8" w14:paraId="7BD0BB76" w14:textId="77777777" w:rsidTr="6EF847A3">
        <w:trPr>
          <w:cantSplit/>
        </w:trPr>
        <w:tc>
          <w:tcPr>
            <w:tcW w:w="734" w:type="dxa"/>
            <w:vMerge/>
            <w:tcBorders>
              <w:bottom w:val="nil"/>
            </w:tcBorders>
            <w:shd w:val="clear" w:color="auto" w:fill="FFFFFF"/>
            <w:vAlign w:val="center"/>
          </w:tcPr>
          <w:p w14:paraId="298EE543" w14:textId="77777777" w:rsidR="008B7BB5" w:rsidRPr="005615A8" w:rsidRDefault="008B7BB5" w:rsidP="00CE0B2D">
            <w:pPr>
              <w:autoSpaceDE w:val="0"/>
              <w:autoSpaceDN w:val="0"/>
              <w:adjustRightInd w:val="0"/>
              <w:spacing w:after="0" w:line="240" w:lineRule="auto"/>
              <w:rPr>
                <w:rFonts w:ascii="Arial" w:hAnsi="Arial" w:cs="Arial"/>
                <w:color w:val="000000"/>
                <w:sz w:val="18"/>
                <w:szCs w:val="18"/>
              </w:rPr>
            </w:pPr>
          </w:p>
        </w:tc>
        <w:tc>
          <w:tcPr>
            <w:tcW w:w="2569" w:type="dxa"/>
            <w:tcBorders>
              <w:bottom w:val="nil"/>
            </w:tcBorders>
            <w:shd w:val="clear" w:color="auto" w:fill="FFFFFF" w:themeFill="background1"/>
            <w:vAlign w:val="center"/>
          </w:tcPr>
          <w:p w14:paraId="776670A9" w14:textId="77777777" w:rsidR="008B7BB5" w:rsidRPr="008B7BB5" w:rsidRDefault="008B7BB5" w:rsidP="00CE0B2D">
            <w:pPr>
              <w:autoSpaceDE w:val="0"/>
              <w:autoSpaceDN w:val="0"/>
              <w:adjustRightInd w:val="0"/>
              <w:spacing w:after="0" w:line="320" w:lineRule="atLeast"/>
              <w:ind w:left="60" w:right="60"/>
              <w:rPr>
                <w:rFonts w:ascii="Times New Roman" w:hAnsi="Times New Roman" w:cs="Times New Roman"/>
                <w:color w:val="000000"/>
                <w:sz w:val="18"/>
                <w:szCs w:val="18"/>
              </w:rPr>
            </w:pPr>
            <w:r w:rsidRPr="008B7BB5">
              <w:rPr>
                <w:rFonts w:ascii="Times New Roman" w:hAnsi="Times New Roman" w:cs="Times New Roman"/>
                <w:color w:val="000000"/>
                <w:sz w:val="18"/>
                <w:szCs w:val="18"/>
              </w:rPr>
              <w:t>CBTF #2</w:t>
            </w:r>
          </w:p>
        </w:tc>
        <w:tc>
          <w:tcPr>
            <w:tcW w:w="1208" w:type="dxa"/>
            <w:tcBorders>
              <w:bottom w:val="nil"/>
            </w:tcBorders>
            <w:shd w:val="clear" w:color="auto" w:fill="FFFFFF" w:themeFill="background1"/>
          </w:tcPr>
          <w:p w14:paraId="516EB5CA"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143</w:t>
            </w:r>
          </w:p>
        </w:tc>
        <w:tc>
          <w:tcPr>
            <w:tcW w:w="1177" w:type="dxa"/>
            <w:tcBorders>
              <w:bottom w:val="nil"/>
            </w:tcBorders>
            <w:shd w:val="clear" w:color="auto" w:fill="FFFFFF" w:themeFill="background1"/>
          </w:tcPr>
          <w:p w14:paraId="4C5EFF0B"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25.0</w:t>
            </w:r>
          </w:p>
        </w:tc>
      </w:tr>
      <w:tr w:rsidR="008B7BB5" w:rsidRPr="005615A8" w14:paraId="0B22EC7D" w14:textId="77777777" w:rsidTr="6EF847A3">
        <w:trPr>
          <w:cantSplit/>
        </w:trPr>
        <w:tc>
          <w:tcPr>
            <w:tcW w:w="734" w:type="dxa"/>
            <w:vMerge/>
            <w:tcBorders>
              <w:bottom w:val="nil"/>
            </w:tcBorders>
            <w:shd w:val="clear" w:color="auto" w:fill="FFFFFF"/>
            <w:vAlign w:val="center"/>
          </w:tcPr>
          <w:p w14:paraId="3D8FF971" w14:textId="77777777" w:rsidR="008B7BB5" w:rsidRPr="005615A8" w:rsidRDefault="008B7BB5" w:rsidP="00CE0B2D">
            <w:pPr>
              <w:autoSpaceDE w:val="0"/>
              <w:autoSpaceDN w:val="0"/>
              <w:adjustRightInd w:val="0"/>
              <w:spacing w:after="0" w:line="240" w:lineRule="auto"/>
              <w:rPr>
                <w:rFonts w:ascii="Arial" w:hAnsi="Arial" w:cs="Arial"/>
                <w:color w:val="000000"/>
                <w:sz w:val="18"/>
                <w:szCs w:val="18"/>
              </w:rPr>
            </w:pPr>
          </w:p>
        </w:tc>
        <w:tc>
          <w:tcPr>
            <w:tcW w:w="2569" w:type="dxa"/>
            <w:tcBorders>
              <w:bottom w:val="nil"/>
            </w:tcBorders>
            <w:shd w:val="clear" w:color="auto" w:fill="FFFFFF" w:themeFill="background1"/>
            <w:vAlign w:val="center"/>
          </w:tcPr>
          <w:p w14:paraId="40873379" w14:textId="77777777" w:rsidR="008B7BB5" w:rsidRPr="008B7BB5" w:rsidRDefault="008B7BB5" w:rsidP="00CE0B2D">
            <w:pPr>
              <w:autoSpaceDE w:val="0"/>
              <w:autoSpaceDN w:val="0"/>
              <w:adjustRightInd w:val="0"/>
              <w:spacing w:after="0" w:line="320" w:lineRule="atLeast"/>
              <w:ind w:left="60" w:right="60"/>
              <w:rPr>
                <w:rFonts w:ascii="Times New Roman" w:hAnsi="Times New Roman" w:cs="Times New Roman"/>
                <w:color w:val="000000"/>
                <w:sz w:val="18"/>
                <w:szCs w:val="18"/>
              </w:rPr>
            </w:pPr>
            <w:r w:rsidRPr="008B7BB5">
              <w:rPr>
                <w:rFonts w:ascii="Times New Roman" w:hAnsi="Times New Roman" w:cs="Times New Roman"/>
                <w:color w:val="000000"/>
                <w:sz w:val="18"/>
                <w:szCs w:val="18"/>
              </w:rPr>
              <w:t>CONALEP</w:t>
            </w:r>
          </w:p>
        </w:tc>
        <w:tc>
          <w:tcPr>
            <w:tcW w:w="1208" w:type="dxa"/>
            <w:tcBorders>
              <w:bottom w:val="nil"/>
            </w:tcBorders>
            <w:shd w:val="clear" w:color="auto" w:fill="FFFFFF" w:themeFill="background1"/>
          </w:tcPr>
          <w:p w14:paraId="2D4E2650"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12</w:t>
            </w:r>
          </w:p>
        </w:tc>
        <w:tc>
          <w:tcPr>
            <w:tcW w:w="1177" w:type="dxa"/>
            <w:tcBorders>
              <w:bottom w:val="nil"/>
            </w:tcBorders>
            <w:shd w:val="clear" w:color="auto" w:fill="FFFFFF" w:themeFill="background1"/>
          </w:tcPr>
          <w:p w14:paraId="1B0FEF7F"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2.1</w:t>
            </w:r>
          </w:p>
        </w:tc>
      </w:tr>
      <w:tr w:rsidR="008B7BB5" w:rsidRPr="005615A8" w14:paraId="5D6A44F3" w14:textId="77777777" w:rsidTr="6EF847A3">
        <w:trPr>
          <w:cantSplit/>
        </w:trPr>
        <w:tc>
          <w:tcPr>
            <w:tcW w:w="734" w:type="dxa"/>
            <w:vMerge/>
            <w:tcBorders>
              <w:bottom w:val="nil"/>
            </w:tcBorders>
            <w:shd w:val="clear" w:color="auto" w:fill="FFFFFF"/>
            <w:vAlign w:val="center"/>
          </w:tcPr>
          <w:p w14:paraId="070CD967" w14:textId="77777777" w:rsidR="008B7BB5" w:rsidRPr="005615A8" w:rsidRDefault="008B7BB5" w:rsidP="00CE0B2D">
            <w:pPr>
              <w:autoSpaceDE w:val="0"/>
              <w:autoSpaceDN w:val="0"/>
              <w:adjustRightInd w:val="0"/>
              <w:spacing w:after="0" w:line="240" w:lineRule="auto"/>
              <w:rPr>
                <w:rFonts w:ascii="Arial" w:hAnsi="Arial" w:cs="Arial"/>
                <w:color w:val="000000"/>
                <w:sz w:val="18"/>
                <w:szCs w:val="18"/>
              </w:rPr>
            </w:pPr>
          </w:p>
        </w:tc>
        <w:tc>
          <w:tcPr>
            <w:tcW w:w="2569" w:type="dxa"/>
            <w:tcBorders>
              <w:bottom w:val="nil"/>
            </w:tcBorders>
            <w:shd w:val="clear" w:color="auto" w:fill="FFFFFF" w:themeFill="background1"/>
            <w:vAlign w:val="center"/>
          </w:tcPr>
          <w:p w14:paraId="74846A97" w14:textId="77777777" w:rsidR="008B7BB5" w:rsidRPr="008B7BB5" w:rsidRDefault="008B7BB5" w:rsidP="00CE0B2D">
            <w:pPr>
              <w:autoSpaceDE w:val="0"/>
              <w:autoSpaceDN w:val="0"/>
              <w:adjustRightInd w:val="0"/>
              <w:spacing w:after="0" w:line="320" w:lineRule="atLeast"/>
              <w:ind w:left="60" w:right="60"/>
              <w:rPr>
                <w:rFonts w:ascii="Times New Roman" w:hAnsi="Times New Roman" w:cs="Times New Roman"/>
                <w:color w:val="000000"/>
                <w:sz w:val="18"/>
                <w:szCs w:val="18"/>
              </w:rPr>
            </w:pPr>
            <w:r w:rsidRPr="008B7BB5">
              <w:rPr>
                <w:rFonts w:ascii="Times New Roman" w:hAnsi="Times New Roman" w:cs="Times New Roman"/>
                <w:color w:val="000000"/>
                <w:sz w:val="18"/>
                <w:szCs w:val="18"/>
              </w:rPr>
              <w:t>CECYTED (Chinacates)</w:t>
            </w:r>
          </w:p>
        </w:tc>
        <w:tc>
          <w:tcPr>
            <w:tcW w:w="1208" w:type="dxa"/>
            <w:tcBorders>
              <w:bottom w:val="nil"/>
            </w:tcBorders>
            <w:shd w:val="clear" w:color="auto" w:fill="FFFFFF" w:themeFill="background1"/>
          </w:tcPr>
          <w:p w14:paraId="5A4D8581"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30</w:t>
            </w:r>
          </w:p>
        </w:tc>
        <w:tc>
          <w:tcPr>
            <w:tcW w:w="1177" w:type="dxa"/>
            <w:tcBorders>
              <w:bottom w:val="nil"/>
            </w:tcBorders>
            <w:shd w:val="clear" w:color="auto" w:fill="FFFFFF" w:themeFill="background1"/>
          </w:tcPr>
          <w:p w14:paraId="7C3BC884"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5.2</w:t>
            </w:r>
          </w:p>
        </w:tc>
      </w:tr>
      <w:tr w:rsidR="008B7BB5" w:rsidRPr="005615A8" w14:paraId="6800F189" w14:textId="77777777" w:rsidTr="6EF847A3">
        <w:trPr>
          <w:cantSplit/>
        </w:trPr>
        <w:tc>
          <w:tcPr>
            <w:tcW w:w="734" w:type="dxa"/>
            <w:vMerge/>
            <w:tcBorders>
              <w:bottom w:val="nil"/>
            </w:tcBorders>
            <w:shd w:val="clear" w:color="auto" w:fill="FFFFFF"/>
            <w:vAlign w:val="center"/>
          </w:tcPr>
          <w:p w14:paraId="0FC468D9" w14:textId="77777777" w:rsidR="008B7BB5" w:rsidRPr="005615A8" w:rsidRDefault="008B7BB5" w:rsidP="00CE0B2D">
            <w:pPr>
              <w:autoSpaceDE w:val="0"/>
              <w:autoSpaceDN w:val="0"/>
              <w:adjustRightInd w:val="0"/>
              <w:spacing w:after="0" w:line="240" w:lineRule="auto"/>
              <w:rPr>
                <w:rFonts w:ascii="Arial" w:hAnsi="Arial" w:cs="Arial"/>
                <w:color w:val="000000"/>
                <w:sz w:val="18"/>
                <w:szCs w:val="18"/>
              </w:rPr>
            </w:pPr>
          </w:p>
        </w:tc>
        <w:tc>
          <w:tcPr>
            <w:tcW w:w="2569" w:type="dxa"/>
            <w:tcBorders>
              <w:bottom w:val="nil"/>
            </w:tcBorders>
            <w:shd w:val="clear" w:color="auto" w:fill="FFFFFF" w:themeFill="background1"/>
            <w:vAlign w:val="center"/>
          </w:tcPr>
          <w:p w14:paraId="72BCDE0D" w14:textId="77777777" w:rsidR="008B7BB5" w:rsidRPr="008B7BB5" w:rsidRDefault="008B7BB5" w:rsidP="00CE0B2D">
            <w:pPr>
              <w:autoSpaceDE w:val="0"/>
              <w:autoSpaceDN w:val="0"/>
              <w:adjustRightInd w:val="0"/>
              <w:spacing w:after="0" w:line="320" w:lineRule="atLeast"/>
              <w:ind w:left="60" w:right="60"/>
              <w:rPr>
                <w:rFonts w:ascii="Times New Roman" w:hAnsi="Times New Roman" w:cs="Times New Roman"/>
                <w:color w:val="000000"/>
                <w:sz w:val="18"/>
                <w:szCs w:val="18"/>
              </w:rPr>
            </w:pPr>
            <w:r w:rsidRPr="008B7BB5">
              <w:rPr>
                <w:rFonts w:ascii="Times New Roman" w:hAnsi="Times New Roman" w:cs="Times New Roman"/>
                <w:color w:val="000000"/>
                <w:sz w:val="18"/>
                <w:szCs w:val="18"/>
              </w:rPr>
              <w:t>COBAED(Tepehuanes)</w:t>
            </w:r>
          </w:p>
        </w:tc>
        <w:tc>
          <w:tcPr>
            <w:tcW w:w="1208" w:type="dxa"/>
            <w:tcBorders>
              <w:bottom w:val="nil"/>
            </w:tcBorders>
            <w:shd w:val="clear" w:color="auto" w:fill="FFFFFF" w:themeFill="background1"/>
          </w:tcPr>
          <w:p w14:paraId="3F1EE6F8"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62</w:t>
            </w:r>
          </w:p>
        </w:tc>
        <w:tc>
          <w:tcPr>
            <w:tcW w:w="1177" w:type="dxa"/>
            <w:tcBorders>
              <w:bottom w:val="nil"/>
            </w:tcBorders>
            <w:shd w:val="clear" w:color="auto" w:fill="FFFFFF" w:themeFill="background1"/>
          </w:tcPr>
          <w:p w14:paraId="587C32DE"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10.8</w:t>
            </w:r>
          </w:p>
        </w:tc>
      </w:tr>
      <w:tr w:rsidR="008B7BB5" w:rsidRPr="005615A8" w14:paraId="5EDC956D" w14:textId="77777777" w:rsidTr="6EF847A3">
        <w:trPr>
          <w:cantSplit/>
        </w:trPr>
        <w:tc>
          <w:tcPr>
            <w:tcW w:w="734" w:type="dxa"/>
            <w:vMerge/>
            <w:tcBorders>
              <w:bottom w:val="nil"/>
            </w:tcBorders>
            <w:shd w:val="clear" w:color="auto" w:fill="FFFFFF"/>
            <w:vAlign w:val="center"/>
          </w:tcPr>
          <w:p w14:paraId="75245FFC" w14:textId="77777777" w:rsidR="008B7BB5" w:rsidRPr="005615A8" w:rsidRDefault="008B7BB5" w:rsidP="00CE0B2D">
            <w:pPr>
              <w:autoSpaceDE w:val="0"/>
              <w:autoSpaceDN w:val="0"/>
              <w:adjustRightInd w:val="0"/>
              <w:spacing w:after="0" w:line="240" w:lineRule="auto"/>
              <w:rPr>
                <w:rFonts w:ascii="Arial" w:hAnsi="Arial" w:cs="Arial"/>
                <w:color w:val="000000"/>
                <w:sz w:val="18"/>
                <w:szCs w:val="18"/>
              </w:rPr>
            </w:pPr>
          </w:p>
        </w:tc>
        <w:tc>
          <w:tcPr>
            <w:tcW w:w="2569" w:type="dxa"/>
            <w:tcBorders>
              <w:bottom w:val="nil"/>
            </w:tcBorders>
            <w:shd w:val="clear" w:color="auto" w:fill="FFFFFF" w:themeFill="background1"/>
            <w:vAlign w:val="center"/>
          </w:tcPr>
          <w:p w14:paraId="5D55A63B" w14:textId="77777777" w:rsidR="008B7BB5" w:rsidRPr="008B7BB5" w:rsidRDefault="008B7BB5" w:rsidP="00CE0B2D">
            <w:pPr>
              <w:autoSpaceDE w:val="0"/>
              <w:autoSpaceDN w:val="0"/>
              <w:adjustRightInd w:val="0"/>
              <w:spacing w:after="0" w:line="320" w:lineRule="atLeast"/>
              <w:ind w:left="60" w:right="60"/>
              <w:rPr>
                <w:rFonts w:ascii="Times New Roman" w:hAnsi="Times New Roman" w:cs="Times New Roman"/>
                <w:color w:val="000000"/>
                <w:sz w:val="18"/>
                <w:szCs w:val="18"/>
              </w:rPr>
            </w:pPr>
            <w:r w:rsidRPr="008B7BB5">
              <w:rPr>
                <w:rFonts w:ascii="Times New Roman" w:hAnsi="Times New Roman" w:cs="Times New Roman"/>
                <w:color w:val="000000"/>
                <w:sz w:val="18"/>
                <w:szCs w:val="18"/>
              </w:rPr>
              <w:t>COBAED #22 (Santa María)</w:t>
            </w:r>
          </w:p>
        </w:tc>
        <w:tc>
          <w:tcPr>
            <w:tcW w:w="1208" w:type="dxa"/>
            <w:tcBorders>
              <w:bottom w:val="nil"/>
            </w:tcBorders>
            <w:shd w:val="clear" w:color="auto" w:fill="FFFFFF" w:themeFill="background1"/>
          </w:tcPr>
          <w:p w14:paraId="1F057A91"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24</w:t>
            </w:r>
          </w:p>
        </w:tc>
        <w:tc>
          <w:tcPr>
            <w:tcW w:w="1177" w:type="dxa"/>
            <w:tcBorders>
              <w:bottom w:val="nil"/>
            </w:tcBorders>
            <w:shd w:val="clear" w:color="auto" w:fill="FFFFFF" w:themeFill="background1"/>
          </w:tcPr>
          <w:p w14:paraId="34AF8591"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4.2</w:t>
            </w:r>
          </w:p>
        </w:tc>
      </w:tr>
      <w:tr w:rsidR="008B7BB5" w:rsidRPr="005615A8" w14:paraId="727F98C3" w14:textId="77777777" w:rsidTr="6EF847A3">
        <w:trPr>
          <w:cantSplit/>
        </w:trPr>
        <w:tc>
          <w:tcPr>
            <w:tcW w:w="734" w:type="dxa"/>
            <w:vMerge/>
            <w:tcBorders>
              <w:bottom w:val="nil"/>
            </w:tcBorders>
            <w:shd w:val="clear" w:color="auto" w:fill="FFFFFF"/>
            <w:vAlign w:val="center"/>
          </w:tcPr>
          <w:p w14:paraId="58334BC3" w14:textId="77777777" w:rsidR="008B7BB5" w:rsidRPr="005615A8" w:rsidRDefault="008B7BB5" w:rsidP="00CE0B2D">
            <w:pPr>
              <w:autoSpaceDE w:val="0"/>
              <w:autoSpaceDN w:val="0"/>
              <w:adjustRightInd w:val="0"/>
              <w:spacing w:after="0" w:line="240" w:lineRule="auto"/>
              <w:rPr>
                <w:rFonts w:ascii="Arial" w:hAnsi="Arial" w:cs="Arial"/>
                <w:color w:val="000000"/>
                <w:sz w:val="18"/>
                <w:szCs w:val="18"/>
              </w:rPr>
            </w:pPr>
          </w:p>
        </w:tc>
        <w:tc>
          <w:tcPr>
            <w:tcW w:w="2569" w:type="dxa"/>
            <w:tcBorders>
              <w:bottom w:val="nil"/>
            </w:tcBorders>
            <w:shd w:val="clear" w:color="auto" w:fill="FFFFFF" w:themeFill="background1"/>
            <w:vAlign w:val="center"/>
          </w:tcPr>
          <w:p w14:paraId="050BBC04" w14:textId="77777777" w:rsidR="008B7BB5" w:rsidRPr="008B7BB5" w:rsidRDefault="008B7BB5" w:rsidP="00CE0B2D">
            <w:pPr>
              <w:autoSpaceDE w:val="0"/>
              <w:autoSpaceDN w:val="0"/>
              <w:adjustRightInd w:val="0"/>
              <w:spacing w:after="0" w:line="320" w:lineRule="atLeast"/>
              <w:ind w:left="60" w:right="60"/>
              <w:rPr>
                <w:rFonts w:ascii="Times New Roman" w:hAnsi="Times New Roman" w:cs="Times New Roman"/>
                <w:color w:val="000000"/>
                <w:sz w:val="18"/>
                <w:szCs w:val="18"/>
              </w:rPr>
            </w:pPr>
            <w:r w:rsidRPr="008B7BB5">
              <w:rPr>
                <w:rFonts w:ascii="Times New Roman" w:hAnsi="Times New Roman" w:cs="Times New Roman"/>
                <w:color w:val="000000"/>
                <w:sz w:val="18"/>
                <w:szCs w:val="18"/>
              </w:rPr>
              <w:t>Prepa Abierta</w:t>
            </w:r>
          </w:p>
        </w:tc>
        <w:tc>
          <w:tcPr>
            <w:tcW w:w="1208" w:type="dxa"/>
            <w:tcBorders>
              <w:bottom w:val="nil"/>
            </w:tcBorders>
            <w:shd w:val="clear" w:color="auto" w:fill="FFFFFF" w:themeFill="background1"/>
          </w:tcPr>
          <w:p w14:paraId="4EAF76C5"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9</w:t>
            </w:r>
          </w:p>
        </w:tc>
        <w:tc>
          <w:tcPr>
            <w:tcW w:w="1177" w:type="dxa"/>
            <w:tcBorders>
              <w:bottom w:val="nil"/>
            </w:tcBorders>
            <w:shd w:val="clear" w:color="auto" w:fill="FFFFFF" w:themeFill="background1"/>
          </w:tcPr>
          <w:p w14:paraId="0E1F7AF8"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1.6</w:t>
            </w:r>
          </w:p>
        </w:tc>
      </w:tr>
      <w:tr w:rsidR="008B7BB5" w:rsidRPr="005615A8" w14:paraId="64615919" w14:textId="77777777" w:rsidTr="6EF847A3">
        <w:trPr>
          <w:cantSplit/>
        </w:trPr>
        <w:tc>
          <w:tcPr>
            <w:tcW w:w="734" w:type="dxa"/>
            <w:vMerge/>
            <w:tcBorders>
              <w:bottom w:val="nil"/>
            </w:tcBorders>
            <w:shd w:val="clear" w:color="auto" w:fill="FFFFFF"/>
            <w:vAlign w:val="center"/>
          </w:tcPr>
          <w:p w14:paraId="22DAF9CF" w14:textId="77777777" w:rsidR="008B7BB5" w:rsidRPr="005615A8" w:rsidRDefault="008B7BB5" w:rsidP="00CE0B2D">
            <w:pPr>
              <w:autoSpaceDE w:val="0"/>
              <w:autoSpaceDN w:val="0"/>
              <w:adjustRightInd w:val="0"/>
              <w:spacing w:after="0" w:line="240" w:lineRule="auto"/>
              <w:rPr>
                <w:rFonts w:ascii="Arial" w:hAnsi="Arial" w:cs="Arial"/>
                <w:color w:val="000000"/>
                <w:sz w:val="18"/>
                <w:szCs w:val="18"/>
              </w:rPr>
            </w:pPr>
          </w:p>
        </w:tc>
        <w:tc>
          <w:tcPr>
            <w:tcW w:w="2569" w:type="dxa"/>
            <w:tcBorders>
              <w:bottom w:val="nil"/>
            </w:tcBorders>
            <w:shd w:val="clear" w:color="auto" w:fill="FFFFFF" w:themeFill="background1"/>
            <w:vAlign w:val="center"/>
          </w:tcPr>
          <w:p w14:paraId="4D4EF044" w14:textId="729B1819" w:rsidR="008B7BB5" w:rsidRPr="008B7BB5" w:rsidRDefault="00372977" w:rsidP="00CE0B2D">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C.B.T.A</w:t>
            </w:r>
            <w:bookmarkStart w:id="0" w:name="_GoBack"/>
            <w:bookmarkEnd w:id="0"/>
            <w:r w:rsidR="008B7BB5" w:rsidRPr="008B7BB5">
              <w:rPr>
                <w:rFonts w:ascii="Times New Roman" w:hAnsi="Times New Roman" w:cs="Times New Roman"/>
                <w:color w:val="000000"/>
                <w:sz w:val="18"/>
                <w:szCs w:val="18"/>
              </w:rPr>
              <w:t xml:space="preserve"> #64</w:t>
            </w:r>
          </w:p>
        </w:tc>
        <w:tc>
          <w:tcPr>
            <w:tcW w:w="1208" w:type="dxa"/>
            <w:tcBorders>
              <w:bottom w:val="nil"/>
            </w:tcBorders>
            <w:shd w:val="clear" w:color="auto" w:fill="FFFFFF" w:themeFill="background1"/>
          </w:tcPr>
          <w:p w14:paraId="5E859D25"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56</w:t>
            </w:r>
          </w:p>
        </w:tc>
        <w:tc>
          <w:tcPr>
            <w:tcW w:w="1177" w:type="dxa"/>
            <w:tcBorders>
              <w:bottom w:val="nil"/>
            </w:tcBorders>
            <w:shd w:val="clear" w:color="auto" w:fill="FFFFFF" w:themeFill="background1"/>
          </w:tcPr>
          <w:p w14:paraId="12CD4F55"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9.8</w:t>
            </w:r>
          </w:p>
        </w:tc>
      </w:tr>
      <w:tr w:rsidR="008B7BB5" w:rsidRPr="005615A8" w14:paraId="2EEBBBF7" w14:textId="77777777" w:rsidTr="6EF847A3">
        <w:trPr>
          <w:cantSplit/>
        </w:trPr>
        <w:tc>
          <w:tcPr>
            <w:tcW w:w="734" w:type="dxa"/>
            <w:vMerge/>
            <w:tcBorders>
              <w:bottom w:val="single" w:sz="4" w:space="0" w:color="auto"/>
            </w:tcBorders>
            <w:shd w:val="clear" w:color="auto" w:fill="FFFFFF"/>
            <w:vAlign w:val="center"/>
          </w:tcPr>
          <w:p w14:paraId="7D0EC687" w14:textId="77777777" w:rsidR="008B7BB5" w:rsidRPr="005615A8" w:rsidRDefault="008B7BB5" w:rsidP="00CE0B2D">
            <w:pPr>
              <w:autoSpaceDE w:val="0"/>
              <w:autoSpaceDN w:val="0"/>
              <w:adjustRightInd w:val="0"/>
              <w:spacing w:after="0" w:line="240" w:lineRule="auto"/>
              <w:rPr>
                <w:rFonts w:ascii="Arial" w:hAnsi="Arial" w:cs="Arial"/>
                <w:color w:val="000000"/>
                <w:sz w:val="18"/>
                <w:szCs w:val="18"/>
              </w:rPr>
            </w:pPr>
          </w:p>
        </w:tc>
        <w:tc>
          <w:tcPr>
            <w:tcW w:w="2569" w:type="dxa"/>
            <w:tcBorders>
              <w:bottom w:val="single" w:sz="4" w:space="0" w:color="auto"/>
            </w:tcBorders>
            <w:shd w:val="clear" w:color="auto" w:fill="FFFFFF" w:themeFill="background1"/>
            <w:vAlign w:val="center"/>
          </w:tcPr>
          <w:p w14:paraId="7F9CB002" w14:textId="77777777" w:rsidR="008B7BB5" w:rsidRPr="008B7BB5" w:rsidRDefault="008B7BB5" w:rsidP="00CE0B2D">
            <w:pPr>
              <w:autoSpaceDE w:val="0"/>
              <w:autoSpaceDN w:val="0"/>
              <w:adjustRightInd w:val="0"/>
              <w:spacing w:after="0" w:line="320" w:lineRule="atLeast"/>
              <w:ind w:left="60" w:right="60"/>
              <w:rPr>
                <w:rFonts w:ascii="Times New Roman" w:hAnsi="Times New Roman" w:cs="Times New Roman"/>
                <w:color w:val="000000"/>
                <w:sz w:val="18"/>
                <w:szCs w:val="18"/>
              </w:rPr>
            </w:pPr>
            <w:r w:rsidRPr="008B7BB5">
              <w:rPr>
                <w:rFonts w:ascii="Times New Roman" w:hAnsi="Times New Roman" w:cs="Times New Roman"/>
                <w:color w:val="000000"/>
                <w:sz w:val="18"/>
                <w:szCs w:val="18"/>
              </w:rPr>
              <w:t>Total</w:t>
            </w:r>
          </w:p>
        </w:tc>
        <w:tc>
          <w:tcPr>
            <w:tcW w:w="1208" w:type="dxa"/>
            <w:tcBorders>
              <w:bottom w:val="single" w:sz="4" w:space="0" w:color="auto"/>
            </w:tcBorders>
            <w:shd w:val="clear" w:color="auto" w:fill="FFFFFF" w:themeFill="background1"/>
          </w:tcPr>
          <w:p w14:paraId="6E8A511C"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572</w:t>
            </w:r>
          </w:p>
        </w:tc>
        <w:tc>
          <w:tcPr>
            <w:tcW w:w="1177" w:type="dxa"/>
            <w:tcBorders>
              <w:bottom w:val="single" w:sz="4" w:space="0" w:color="auto"/>
            </w:tcBorders>
            <w:shd w:val="clear" w:color="auto" w:fill="FFFFFF" w:themeFill="background1"/>
          </w:tcPr>
          <w:p w14:paraId="094D549D" w14:textId="77777777" w:rsidR="008B7BB5" w:rsidRPr="008B7BB5" w:rsidRDefault="008B7BB5" w:rsidP="00CE0B2D">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8B7BB5">
              <w:rPr>
                <w:rFonts w:ascii="Times New Roman" w:hAnsi="Times New Roman" w:cs="Times New Roman"/>
                <w:color w:val="000000"/>
                <w:sz w:val="18"/>
                <w:szCs w:val="18"/>
              </w:rPr>
              <w:t>100.0</w:t>
            </w:r>
          </w:p>
        </w:tc>
      </w:tr>
    </w:tbl>
    <w:p w14:paraId="62CED13D" w14:textId="77777777" w:rsidR="008B7BB5" w:rsidRDefault="008B7BB5" w:rsidP="00E06F79">
      <w:pPr>
        <w:pStyle w:val="Prrafodelista"/>
        <w:tabs>
          <w:tab w:val="left" w:pos="1305"/>
        </w:tabs>
        <w:ind w:left="0"/>
        <w:jc w:val="both"/>
        <w:rPr>
          <w:rFonts w:ascii="Times New Roman" w:hAnsi="Times New Roman" w:cs="Times New Roman"/>
          <w:sz w:val="20"/>
          <w:szCs w:val="20"/>
          <w:lang w:val="es-MX"/>
        </w:rPr>
      </w:pPr>
      <w:r w:rsidRPr="008B7BB5">
        <w:rPr>
          <w:rFonts w:ascii="Times New Roman" w:hAnsi="Times New Roman" w:cs="Times New Roman"/>
          <w:sz w:val="20"/>
          <w:szCs w:val="20"/>
          <w:lang w:val="es-MX"/>
        </w:rPr>
        <w:t>Fuente: encuesta EEMS de OIL-UJED</w:t>
      </w:r>
    </w:p>
    <w:p w14:paraId="0033025D" w14:textId="77777777" w:rsidR="00086DD6" w:rsidRDefault="00086DD6" w:rsidP="00E06F79">
      <w:pPr>
        <w:pStyle w:val="Prrafodelista"/>
        <w:tabs>
          <w:tab w:val="left" w:pos="1305"/>
        </w:tabs>
        <w:ind w:left="0"/>
        <w:jc w:val="both"/>
        <w:rPr>
          <w:rFonts w:ascii="Times New Roman" w:hAnsi="Times New Roman" w:cs="Times New Roman"/>
          <w:sz w:val="20"/>
          <w:szCs w:val="20"/>
          <w:lang w:val="es-MX"/>
        </w:rPr>
      </w:pPr>
    </w:p>
    <w:p w14:paraId="53C3305D" w14:textId="7DBEEB7E" w:rsidR="00325163" w:rsidRDefault="6EF847A3" w:rsidP="00EC5075">
      <w:pPr>
        <w:pStyle w:val="Prrafodelista"/>
        <w:tabs>
          <w:tab w:val="left" w:pos="1305"/>
        </w:tabs>
        <w:spacing w:line="360" w:lineRule="auto"/>
        <w:ind w:left="0"/>
        <w:jc w:val="both"/>
        <w:rPr>
          <w:rFonts w:ascii="Times New Roman" w:hAnsi="Times New Roman" w:cs="Times New Roman"/>
          <w:sz w:val="24"/>
          <w:szCs w:val="24"/>
          <w:lang w:val="es-MX"/>
        </w:rPr>
      </w:pPr>
      <w:r w:rsidRPr="6EF847A3">
        <w:rPr>
          <w:rFonts w:ascii="Times New Roman" w:hAnsi="Times New Roman" w:cs="Times New Roman"/>
          <w:sz w:val="24"/>
          <w:szCs w:val="24"/>
          <w:lang w:val="es-MX"/>
        </w:rPr>
        <w:t xml:space="preserve">Con respecto a la pregunta: qué realizarán después de terminar sus estudios de bachillerato, el 80.2% respondió continuar estudiando, 6.1% buscar empleo, 1.6 % ayudar en las actividades del hogar, 5.1% emigrar y un 7% de no respuesta. De los que respondieron continuar estudiando el 36.6% respondió que lo realizaría en el mismo municipio y el 26.6% en la </w:t>
      </w:r>
      <w:r w:rsidRPr="6EF847A3">
        <w:rPr>
          <w:rFonts w:ascii="Times New Roman" w:hAnsi="Times New Roman" w:cs="Times New Roman"/>
          <w:sz w:val="24"/>
          <w:szCs w:val="24"/>
          <w:lang w:val="es-MX"/>
        </w:rPr>
        <w:lastRenderedPageBreak/>
        <w:t xml:space="preserve">capital del Estado, lo que representa un 63.2% el resto respondió en otro municipio fuera de la capital, fuera del país u otro. </w:t>
      </w:r>
    </w:p>
    <w:p w14:paraId="6F23B9C5" w14:textId="77777777" w:rsidR="00325163" w:rsidRDefault="00334484" w:rsidP="00334484">
      <w:pPr>
        <w:autoSpaceDE w:val="0"/>
        <w:autoSpaceDN w:val="0"/>
        <w:adjustRightInd w:val="0"/>
        <w:spacing w:after="0" w:line="320" w:lineRule="atLeast"/>
        <w:ind w:left="60" w:right="60"/>
        <w:rPr>
          <w:rFonts w:ascii="Times New Roman" w:hAnsi="Times New Roman" w:cs="Times New Roman"/>
          <w:bCs/>
          <w:color w:val="000000"/>
          <w:sz w:val="24"/>
          <w:szCs w:val="24"/>
        </w:rPr>
      </w:pPr>
      <w:r>
        <w:rPr>
          <w:rFonts w:ascii="Times New Roman" w:hAnsi="Times New Roman" w:cs="Times New Roman"/>
          <w:bCs/>
          <w:color w:val="000000"/>
          <w:sz w:val="24"/>
          <w:szCs w:val="24"/>
        </w:rPr>
        <w:t>Tabla 2</w:t>
      </w:r>
      <w:r w:rsidRPr="00FD2383">
        <w:rPr>
          <w:rFonts w:ascii="Times New Roman" w:hAnsi="Times New Roman" w:cs="Times New Roman"/>
          <w:bCs/>
          <w:color w:val="000000"/>
          <w:sz w:val="24"/>
          <w:szCs w:val="24"/>
        </w:rPr>
        <w:t xml:space="preserve">. </w:t>
      </w:r>
    </w:p>
    <w:p w14:paraId="44CEEF23" w14:textId="77777777" w:rsidR="00334484" w:rsidRDefault="6EF847A3" w:rsidP="6EF847A3">
      <w:pPr>
        <w:autoSpaceDE w:val="0"/>
        <w:autoSpaceDN w:val="0"/>
        <w:adjustRightInd w:val="0"/>
        <w:spacing w:after="0" w:line="320" w:lineRule="atLeast"/>
        <w:ind w:right="60"/>
        <w:rPr>
          <w:rFonts w:ascii="Times New Roman" w:hAnsi="Times New Roman" w:cs="Times New Roman"/>
          <w:i/>
          <w:iCs/>
          <w:color w:val="000000" w:themeColor="text1"/>
          <w:sz w:val="24"/>
          <w:szCs w:val="24"/>
        </w:rPr>
      </w:pPr>
      <w:r w:rsidRPr="6EF847A3">
        <w:rPr>
          <w:rFonts w:ascii="Times New Roman" w:hAnsi="Times New Roman" w:cs="Times New Roman"/>
          <w:i/>
          <w:iCs/>
          <w:color w:val="000000" w:themeColor="text1"/>
          <w:sz w:val="24"/>
          <w:szCs w:val="24"/>
        </w:rPr>
        <w:t xml:space="preserve">Ocupación de los participantes en la Encuesta de Hogares </w:t>
      </w:r>
    </w:p>
    <w:p w14:paraId="1DFFD75F" w14:textId="77777777" w:rsidR="00334484" w:rsidRPr="00334484" w:rsidRDefault="00334484" w:rsidP="00334484">
      <w:pPr>
        <w:autoSpaceDE w:val="0"/>
        <w:autoSpaceDN w:val="0"/>
        <w:adjustRightInd w:val="0"/>
        <w:spacing w:after="0" w:line="320" w:lineRule="atLeast"/>
        <w:ind w:right="60"/>
        <w:rPr>
          <w:rFonts w:ascii="Times New Roman" w:hAnsi="Times New Roman" w:cs="Times New Roman"/>
          <w:bCs/>
          <w:color w:val="000000"/>
          <w:sz w:val="24"/>
          <w:szCs w:val="24"/>
        </w:rPr>
      </w:pPr>
    </w:p>
    <w:tbl>
      <w:tblPr>
        <w:tblW w:w="6029" w:type="dxa"/>
        <w:tblInd w:w="70" w:type="dxa"/>
        <w:tblCellMar>
          <w:left w:w="70" w:type="dxa"/>
          <w:right w:w="70" w:type="dxa"/>
        </w:tblCellMar>
        <w:tblLook w:val="04A0" w:firstRow="1" w:lastRow="0" w:firstColumn="1" w:lastColumn="0" w:noHBand="0" w:noVBand="1"/>
      </w:tblPr>
      <w:tblGrid>
        <w:gridCol w:w="1229"/>
        <w:gridCol w:w="1200"/>
        <w:gridCol w:w="1200"/>
        <w:gridCol w:w="1200"/>
        <w:gridCol w:w="1200"/>
      </w:tblGrid>
      <w:tr w:rsidR="00334484" w:rsidRPr="00334484" w14:paraId="1C35A5D7" w14:textId="77777777" w:rsidTr="6EF847A3">
        <w:trPr>
          <w:trHeight w:val="465"/>
        </w:trPr>
        <w:tc>
          <w:tcPr>
            <w:tcW w:w="1229" w:type="dxa"/>
            <w:tcBorders>
              <w:top w:val="single" w:sz="4" w:space="0" w:color="auto"/>
              <w:left w:val="nil"/>
              <w:bottom w:val="nil"/>
              <w:right w:val="nil"/>
            </w:tcBorders>
            <w:shd w:val="clear" w:color="auto" w:fill="auto"/>
            <w:vAlign w:val="bottom"/>
            <w:hideMark/>
          </w:tcPr>
          <w:p w14:paraId="48432A55"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 </w:t>
            </w:r>
          </w:p>
        </w:tc>
        <w:tc>
          <w:tcPr>
            <w:tcW w:w="4800" w:type="dxa"/>
            <w:gridSpan w:val="4"/>
            <w:tcBorders>
              <w:top w:val="single" w:sz="4" w:space="0" w:color="auto"/>
              <w:left w:val="nil"/>
              <w:bottom w:val="nil"/>
              <w:right w:val="nil"/>
            </w:tcBorders>
            <w:shd w:val="clear" w:color="auto" w:fill="auto"/>
            <w:vAlign w:val="bottom"/>
            <w:hideMark/>
          </w:tcPr>
          <w:p w14:paraId="2641A064"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p>
        </w:tc>
      </w:tr>
      <w:tr w:rsidR="00334484" w:rsidRPr="00334484" w14:paraId="1FD24A65" w14:textId="77777777" w:rsidTr="6EF847A3">
        <w:trPr>
          <w:trHeight w:val="585"/>
        </w:trPr>
        <w:tc>
          <w:tcPr>
            <w:tcW w:w="1229" w:type="dxa"/>
            <w:tcBorders>
              <w:top w:val="nil"/>
              <w:left w:val="nil"/>
              <w:bottom w:val="nil"/>
              <w:right w:val="nil"/>
            </w:tcBorders>
            <w:shd w:val="clear" w:color="auto" w:fill="auto"/>
            <w:hideMark/>
          </w:tcPr>
          <w:p w14:paraId="4F08D829"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p>
        </w:tc>
        <w:tc>
          <w:tcPr>
            <w:tcW w:w="1200" w:type="dxa"/>
            <w:tcBorders>
              <w:top w:val="nil"/>
              <w:left w:val="nil"/>
              <w:bottom w:val="nil"/>
              <w:right w:val="nil"/>
            </w:tcBorders>
            <w:shd w:val="clear" w:color="auto" w:fill="auto"/>
            <w:vAlign w:val="bottom"/>
            <w:hideMark/>
          </w:tcPr>
          <w:p w14:paraId="7139B39D"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Santiago Papasquiaro</w:t>
            </w:r>
          </w:p>
        </w:tc>
        <w:tc>
          <w:tcPr>
            <w:tcW w:w="1200" w:type="dxa"/>
            <w:tcBorders>
              <w:top w:val="nil"/>
              <w:left w:val="nil"/>
              <w:bottom w:val="nil"/>
              <w:right w:val="nil"/>
            </w:tcBorders>
            <w:shd w:val="clear" w:color="auto" w:fill="auto"/>
            <w:vAlign w:val="bottom"/>
            <w:hideMark/>
          </w:tcPr>
          <w:p w14:paraId="3A1CE698" w14:textId="77777777" w:rsidR="00334484" w:rsidRPr="00334484" w:rsidRDefault="00334484" w:rsidP="00334484">
            <w:pPr>
              <w:spacing w:after="0" w:line="240" w:lineRule="auto"/>
              <w:jc w:val="center"/>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Tepehuanes</w:t>
            </w:r>
          </w:p>
        </w:tc>
        <w:tc>
          <w:tcPr>
            <w:tcW w:w="1200" w:type="dxa"/>
            <w:tcBorders>
              <w:top w:val="nil"/>
              <w:left w:val="nil"/>
              <w:bottom w:val="nil"/>
              <w:right w:val="nil"/>
            </w:tcBorders>
            <w:shd w:val="clear" w:color="auto" w:fill="auto"/>
            <w:vAlign w:val="bottom"/>
            <w:hideMark/>
          </w:tcPr>
          <w:p w14:paraId="62A3441A" w14:textId="77777777" w:rsidR="00334484" w:rsidRPr="00334484" w:rsidRDefault="00334484" w:rsidP="00334484">
            <w:pPr>
              <w:spacing w:after="0" w:line="240" w:lineRule="auto"/>
              <w:jc w:val="center"/>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 xml:space="preserve">Santa </w:t>
            </w:r>
            <w:r w:rsidR="008314A6" w:rsidRPr="00334484">
              <w:rPr>
                <w:rFonts w:ascii="Times New Roman" w:eastAsia="Times New Roman" w:hAnsi="Times New Roman" w:cs="Times New Roman"/>
                <w:color w:val="000000"/>
                <w:sz w:val="20"/>
                <w:szCs w:val="20"/>
                <w:lang w:val="es-MX" w:eastAsia="es-MX"/>
              </w:rPr>
              <w:t>María</w:t>
            </w:r>
            <w:r w:rsidRPr="00334484">
              <w:rPr>
                <w:rFonts w:ascii="Times New Roman" w:eastAsia="Times New Roman" w:hAnsi="Times New Roman" w:cs="Times New Roman"/>
                <w:color w:val="000000"/>
                <w:sz w:val="20"/>
                <w:szCs w:val="20"/>
                <w:lang w:val="es-MX" w:eastAsia="es-MX"/>
              </w:rPr>
              <w:t xml:space="preserve"> del Oro</w:t>
            </w:r>
          </w:p>
        </w:tc>
        <w:tc>
          <w:tcPr>
            <w:tcW w:w="1200" w:type="dxa"/>
            <w:tcBorders>
              <w:top w:val="nil"/>
              <w:left w:val="nil"/>
              <w:bottom w:val="nil"/>
              <w:right w:val="nil"/>
            </w:tcBorders>
            <w:shd w:val="clear" w:color="auto" w:fill="auto"/>
            <w:vAlign w:val="bottom"/>
            <w:hideMark/>
          </w:tcPr>
          <w:p w14:paraId="5E6B5FD9" w14:textId="05AA7D4E" w:rsidR="00334484" w:rsidRPr="00334484" w:rsidRDefault="00334484" w:rsidP="6EF847A3">
            <w:pPr>
              <w:spacing w:after="0" w:line="240" w:lineRule="auto"/>
              <w:jc w:val="center"/>
              <w:rPr>
                <w:rFonts w:ascii="Times New Roman" w:eastAsia="Times New Roman" w:hAnsi="Times New Roman" w:cs="Times New Roman"/>
                <w:color w:val="000000" w:themeColor="text1"/>
                <w:sz w:val="20"/>
                <w:szCs w:val="20"/>
                <w:lang w:val="es-MX" w:eastAsia="es-MX"/>
              </w:rPr>
            </w:pPr>
          </w:p>
        </w:tc>
      </w:tr>
      <w:tr w:rsidR="00334484" w:rsidRPr="00334484" w14:paraId="06AC5B7A" w14:textId="77777777" w:rsidTr="6EF847A3">
        <w:trPr>
          <w:trHeight w:val="270"/>
        </w:trPr>
        <w:tc>
          <w:tcPr>
            <w:tcW w:w="1229" w:type="dxa"/>
            <w:tcBorders>
              <w:top w:val="nil"/>
              <w:left w:val="nil"/>
              <w:bottom w:val="single" w:sz="4" w:space="0" w:color="auto"/>
              <w:right w:val="nil"/>
            </w:tcBorders>
            <w:shd w:val="clear" w:color="auto" w:fill="auto"/>
            <w:vAlign w:val="bottom"/>
            <w:hideMark/>
          </w:tcPr>
          <w:p w14:paraId="4C393F07"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 </w:t>
            </w:r>
          </w:p>
        </w:tc>
        <w:tc>
          <w:tcPr>
            <w:tcW w:w="1200" w:type="dxa"/>
            <w:tcBorders>
              <w:top w:val="nil"/>
              <w:left w:val="nil"/>
              <w:bottom w:val="single" w:sz="4" w:space="0" w:color="auto"/>
              <w:right w:val="nil"/>
            </w:tcBorders>
            <w:shd w:val="clear" w:color="auto" w:fill="auto"/>
            <w:vAlign w:val="bottom"/>
            <w:hideMark/>
          </w:tcPr>
          <w:p w14:paraId="5860F618" w14:textId="7D1F315A" w:rsidR="00334484" w:rsidRPr="00334484" w:rsidRDefault="00334484" w:rsidP="6EF847A3">
            <w:pPr>
              <w:spacing w:after="0" w:line="240" w:lineRule="auto"/>
              <w:rPr>
                <w:rFonts w:ascii="Times New Roman" w:eastAsia="Times New Roman" w:hAnsi="Times New Roman" w:cs="Times New Roman"/>
                <w:color w:val="000000" w:themeColor="text1"/>
                <w:sz w:val="20"/>
                <w:szCs w:val="20"/>
                <w:lang w:val="es-MX" w:eastAsia="es-MX"/>
              </w:rPr>
            </w:pPr>
          </w:p>
        </w:tc>
        <w:tc>
          <w:tcPr>
            <w:tcW w:w="1200" w:type="dxa"/>
            <w:tcBorders>
              <w:top w:val="nil"/>
              <w:left w:val="nil"/>
              <w:bottom w:val="single" w:sz="4" w:space="0" w:color="auto"/>
              <w:right w:val="nil"/>
            </w:tcBorders>
            <w:shd w:val="clear" w:color="auto" w:fill="auto"/>
            <w:vAlign w:val="bottom"/>
            <w:hideMark/>
          </w:tcPr>
          <w:p w14:paraId="1CBF3039" w14:textId="77777777" w:rsidR="00334484" w:rsidRPr="00334484" w:rsidRDefault="00334484" w:rsidP="00334484">
            <w:pPr>
              <w:spacing w:after="0" w:line="240" w:lineRule="auto"/>
              <w:jc w:val="center"/>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Frecuencia</w:t>
            </w:r>
          </w:p>
        </w:tc>
        <w:tc>
          <w:tcPr>
            <w:tcW w:w="1200" w:type="dxa"/>
            <w:tcBorders>
              <w:top w:val="nil"/>
              <w:left w:val="nil"/>
              <w:bottom w:val="single" w:sz="4" w:space="0" w:color="auto"/>
              <w:right w:val="nil"/>
            </w:tcBorders>
            <w:shd w:val="clear" w:color="auto" w:fill="auto"/>
            <w:vAlign w:val="bottom"/>
            <w:hideMark/>
          </w:tcPr>
          <w:p w14:paraId="59DF6647" w14:textId="75456A9E" w:rsidR="00334484" w:rsidRPr="00334484" w:rsidRDefault="00334484" w:rsidP="6EF847A3">
            <w:pPr>
              <w:spacing w:after="0" w:line="240" w:lineRule="auto"/>
              <w:jc w:val="center"/>
              <w:rPr>
                <w:rFonts w:ascii="Times New Roman" w:eastAsia="Times New Roman" w:hAnsi="Times New Roman" w:cs="Times New Roman"/>
                <w:color w:val="000000" w:themeColor="text1"/>
                <w:sz w:val="20"/>
                <w:szCs w:val="20"/>
                <w:lang w:val="es-MX" w:eastAsia="es-MX"/>
              </w:rPr>
            </w:pPr>
          </w:p>
        </w:tc>
        <w:tc>
          <w:tcPr>
            <w:tcW w:w="1200" w:type="dxa"/>
            <w:tcBorders>
              <w:top w:val="nil"/>
              <w:left w:val="nil"/>
              <w:bottom w:val="single" w:sz="4" w:space="0" w:color="auto"/>
              <w:right w:val="nil"/>
            </w:tcBorders>
            <w:shd w:val="clear" w:color="auto" w:fill="auto"/>
            <w:vAlign w:val="bottom"/>
            <w:hideMark/>
          </w:tcPr>
          <w:p w14:paraId="32EFA0B9" w14:textId="0D1C354B" w:rsidR="00334484" w:rsidRPr="00334484" w:rsidRDefault="00334484" w:rsidP="6EF847A3">
            <w:pPr>
              <w:spacing w:after="0" w:line="240" w:lineRule="auto"/>
              <w:jc w:val="center"/>
              <w:rPr>
                <w:rFonts w:ascii="Times New Roman" w:eastAsia="Times New Roman" w:hAnsi="Times New Roman" w:cs="Times New Roman"/>
                <w:color w:val="000000" w:themeColor="text1"/>
                <w:sz w:val="20"/>
                <w:szCs w:val="20"/>
                <w:lang w:val="es-MX" w:eastAsia="es-MX"/>
              </w:rPr>
            </w:pPr>
          </w:p>
        </w:tc>
      </w:tr>
      <w:tr w:rsidR="00334484" w:rsidRPr="00334484" w14:paraId="38843D6D" w14:textId="77777777" w:rsidTr="6EF847A3">
        <w:trPr>
          <w:trHeight w:val="270"/>
        </w:trPr>
        <w:tc>
          <w:tcPr>
            <w:tcW w:w="1229" w:type="dxa"/>
            <w:tcBorders>
              <w:top w:val="nil"/>
              <w:left w:val="nil"/>
              <w:bottom w:val="nil"/>
              <w:right w:val="nil"/>
            </w:tcBorders>
            <w:shd w:val="clear" w:color="auto" w:fill="auto"/>
            <w:hideMark/>
          </w:tcPr>
          <w:p w14:paraId="71D7BCB3"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No aplica</w:t>
            </w:r>
          </w:p>
        </w:tc>
        <w:tc>
          <w:tcPr>
            <w:tcW w:w="1200" w:type="dxa"/>
            <w:tcBorders>
              <w:top w:val="nil"/>
              <w:left w:val="nil"/>
              <w:bottom w:val="nil"/>
              <w:right w:val="nil"/>
            </w:tcBorders>
            <w:shd w:val="clear" w:color="auto" w:fill="auto"/>
            <w:noWrap/>
            <w:vAlign w:val="center"/>
            <w:hideMark/>
          </w:tcPr>
          <w:p w14:paraId="1F2EAB58"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3</w:t>
            </w:r>
          </w:p>
        </w:tc>
        <w:tc>
          <w:tcPr>
            <w:tcW w:w="1200" w:type="dxa"/>
            <w:tcBorders>
              <w:top w:val="nil"/>
              <w:left w:val="nil"/>
              <w:bottom w:val="nil"/>
              <w:right w:val="nil"/>
            </w:tcBorders>
            <w:shd w:val="clear" w:color="auto" w:fill="auto"/>
            <w:noWrap/>
            <w:vAlign w:val="center"/>
            <w:hideMark/>
          </w:tcPr>
          <w:p w14:paraId="36AE9665"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1</w:t>
            </w:r>
          </w:p>
        </w:tc>
        <w:tc>
          <w:tcPr>
            <w:tcW w:w="1200" w:type="dxa"/>
            <w:tcBorders>
              <w:top w:val="nil"/>
              <w:left w:val="nil"/>
              <w:bottom w:val="nil"/>
              <w:right w:val="nil"/>
            </w:tcBorders>
            <w:shd w:val="clear" w:color="auto" w:fill="auto"/>
            <w:noWrap/>
            <w:vAlign w:val="center"/>
            <w:hideMark/>
          </w:tcPr>
          <w:p w14:paraId="3A8F4B24"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5</w:t>
            </w:r>
          </w:p>
        </w:tc>
        <w:tc>
          <w:tcPr>
            <w:tcW w:w="1200" w:type="dxa"/>
            <w:tcBorders>
              <w:top w:val="nil"/>
              <w:left w:val="nil"/>
              <w:bottom w:val="nil"/>
              <w:right w:val="nil"/>
            </w:tcBorders>
            <w:shd w:val="clear" w:color="auto" w:fill="auto"/>
            <w:noWrap/>
            <w:vAlign w:val="center"/>
            <w:hideMark/>
          </w:tcPr>
          <w:p w14:paraId="39BDE922" w14:textId="4D9E58D9" w:rsidR="00334484" w:rsidRPr="00334484" w:rsidRDefault="00334484" w:rsidP="6EF847A3">
            <w:pPr>
              <w:spacing w:after="0" w:line="240" w:lineRule="auto"/>
              <w:jc w:val="right"/>
              <w:rPr>
                <w:rFonts w:ascii="Times New Roman" w:eastAsia="Times New Roman" w:hAnsi="Times New Roman" w:cs="Times New Roman"/>
                <w:color w:val="000000" w:themeColor="text1"/>
                <w:sz w:val="20"/>
                <w:szCs w:val="20"/>
                <w:lang w:val="es-MX" w:eastAsia="es-MX"/>
              </w:rPr>
            </w:pPr>
          </w:p>
        </w:tc>
      </w:tr>
      <w:tr w:rsidR="00334484" w:rsidRPr="00334484" w14:paraId="15FECD72" w14:textId="77777777" w:rsidTr="6EF847A3">
        <w:trPr>
          <w:trHeight w:val="270"/>
        </w:trPr>
        <w:tc>
          <w:tcPr>
            <w:tcW w:w="1229" w:type="dxa"/>
            <w:tcBorders>
              <w:top w:val="nil"/>
              <w:left w:val="nil"/>
              <w:bottom w:val="nil"/>
              <w:right w:val="nil"/>
            </w:tcBorders>
            <w:shd w:val="clear" w:color="auto" w:fill="auto"/>
            <w:hideMark/>
          </w:tcPr>
          <w:p w14:paraId="4780362C"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Estudiante</w:t>
            </w:r>
          </w:p>
        </w:tc>
        <w:tc>
          <w:tcPr>
            <w:tcW w:w="1200" w:type="dxa"/>
            <w:tcBorders>
              <w:top w:val="nil"/>
              <w:left w:val="nil"/>
              <w:bottom w:val="nil"/>
              <w:right w:val="nil"/>
            </w:tcBorders>
            <w:shd w:val="clear" w:color="auto" w:fill="auto"/>
            <w:noWrap/>
            <w:vAlign w:val="center"/>
            <w:hideMark/>
          </w:tcPr>
          <w:p w14:paraId="4D500C8D"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158</w:t>
            </w:r>
          </w:p>
        </w:tc>
        <w:tc>
          <w:tcPr>
            <w:tcW w:w="1200" w:type="dxa"/>
            <w:tcBorders>
              <w:top w:val="nil"/>
              <w:left w:val="nil"/>
              <w:bottom w:val="nil"/>
              <w:right w:val="nil"/>
            </w:tcBorders>
            <w:shd w:val="clear" w:color="auto" w:fill="auto"/>
            <w:noWrap/>
            <w:vAlign w:val="center"/>
            <w:hideMark/>
          </w:tcPr>
          <w:p w14:paraId="6AF22B01"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100</w:t>
            </w:r>
          </w:p>
        </w:tc>
        <w:tc>
          <w:tcPr>
            <w:tcW w:w="1200" w:type="dxa"/>
            <w:tcBorders>
              <w:top w:val="nil"/>
              <w:left w:val="nil"/>
              <w:bottom w:val="nil"/>
              <w:right w:val="nil"/>
            </w:tcBorders>
            <w:shd w:val="clear" w:color="auto" w:fill="auto"/>
            <w:noWrap/>
            <w:vAlign w:val="center"/>
            <w:hideMark/>
          </w:tcPr>
          <w:p w14:paraId="1027B8D6"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59</w:t>
            </w:r>
          </w:p>
        </w:tc>
        <w:tc>
          <w:tcPr>
            <w:tcW w:w="1200" w:type="dxa"/>
            <w:tcBorders>
              <w:top w:val="nil"/>
              <w:left w:val="nil"/>
              <w:bottom w:val="nil"/>
              <w:right w:val="nil"/>
            </w:tcBorders>
            <w:shd w:val="clear" w:color="auto" w:fill="auto"/>
            <w:noWrap/>
            <w:vAlign w:val="center"/>
            <w:hideMark/>
          </w:tcPr>
          <w:p w14:paraId="04328CF1" w14:textId="1C154F39" w:rsidR="00334484" w:rsidRPr="00334484" w:rsidRDefault="00334484" w:rsidP="6EF847A3">
            <w:pPr>
              <w:spacing w:after="0" w:line="240" w:lineRule="auto"/>
              <w:jc w:val="right"/>
              <w:rPr>
                <w:rFonts w:ascii="Times New Roman" w:eastAsia="Times New Roman" w:hAnsi="Times New Roman" w:cs="Times New Roman"/>
                <w:color w:val="000000" w:themeColor="text1"/>
                <w:sz w:val="20"/>
                <w:szCs w:val="20"/>
                <w:lang w:val="es-MX" w:eastAsia="es-MX"/>
              </w:rPr>
            </w:pPr>
          </w:p>
        </w:tc>
      </w:tr>
      <w:tr w:rsidR="00334484" w:rsidRPr="00334484" w14:paraId="35D1925B" w14:textId="77777777" w:rsidTr="6EF847A3">
        <w:trPr>
          <w:trHeight w:val="270"/>
        </w:trPr>
        <w:tc>
          <w:tcPr>
            <w:tcW w:w="1229" w:type="dxa"/>
            <w:tcBorders>
              <w:top w:val="nil"/>
              <w:left w:val="nil"/>
              <w:bottom w:val="nil"/>
              <w:right w:val="nil"/>
            </w:tcBorders>
            <w:shd w:val="clear" w:color="auto" w:fill="auto"/>
            <w:hideMark/>
          </w:tcPr>
          <w:p w14:paraId="75AD61A0"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Desempleado</w:t>
            </w:r>
          </w:p>
        </w:tc>
        <w:tc>
          <w:tcPr>
            <w:tcW w:w="1200" w:type="dxa"/>
            <w:tcBorders>
              <w:top w:val="nil"/>
              <w:left w:val="nil"/>
              <w:bottom w:val="nil"/>
              <w:right w:val="nil"/>
            </w:tcBorders>
            <w:shd w:val="clear" w:color="auto" w:fill="auto"/>
            <w:noWrap/>
            <w:vAlign w:val="center"/>
            <w:hideMark/>
          </w:tcPr>
          <w:p w14:paraId="5EA99310"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8</w:t>
            </w:r>
          </w:p>
        </w:tc>
        <w:tc>
          <w:tcPr>
            <w:tcW w:w="1200" w:type="dxa"/>
            <w:tcBorders>
              <w:top w:val="nil"/>
              <w:left w:val="nil"/>
              <w:bottom w:val="nil"/>
              <w:right w:val="nil"/>
            </w:tcBorders>
            <w:shd w:val="clear" w:color="auto" w:fill="auto"/>
            <w:noWrap/>
            <w:vAlign w:val="center"/>
            <w:hideMark/>
          </w:tcPr>
          <w:p w14:paraId="21612F9F"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4</w:t>
            </w:r>
          </w:p>
        </w:tc>
        <w:tc>
          <w:tcPr>
            <w:tcW w:w="1200" w:type="dxa"/>
            <w:tcBorders>
              <w:top w:val="nil"/>
              <w:left w:val="nil"/>
              <w:bottom w:val="nil"/>
              <w:right w:val="nil"/>
            </w:tcBorders>
            <w:shd w:val="clear" w:color="auto" w:fill="auto"/>
            <w:noWrap/>
            <w:vAlign w:val="center"/>
            <w:hideMark/>
          </w:tcPr>
          <w:p w14:paraId="6E31EC75"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2</w:t>
            </w:r>
          </w:p>
        </w:tc>
        <w:tc>
          <w:tcPr>
            <w:tcW w:w="1200" w:type="dxa"/>
            <w:tcBorders>
              <w:top w:val="nil"/>
              <w:left w:val="nil"/>
              <w:bottom w:val="nil"/>
              <w:right w:val="nil"/>
            </w:tcBorders>
            <w:shd w:val="clear" w:color="auto" w:fill="auto"/>
            <w:noWrap/>
            <w:vAlign w:val="center"/>
            <w:hideMark/>
          </w:tcPr>
          <w:p w14:paraId="5A368B6D" w14:textId="04636C95" w:rsidR="00334484" w:rsidRPr="00334484" w:rsidRDefault="00334484" w:rsidP="6EF847A3">
            <w:pPr>
              <w:spacing w:after="0" w:line="240" w:lineRule="auto"/>
              <w:jc w:val="right"/>
              <w:rPr>
                <w:rFonts w:ascii="Times New Roman" w:eastAsia="Times New Roman" w:hAnsi="Times New Roman" w:cs="Times New Roman"/>
                <w:color w:val="000000" w:themeColor="text1"/>
                <w:sz w:val="20"/>
                <w:szCs w:val="20"/>
                <w:lang w:val="es-MX" w:eastAsia="es-MX"/>
              </w:rPr>
            </w:pPr>
          </w:p>
        </w:tc>
      </w:tr>
      <w:tr w:rsidR="00334484" w:rsidRPr="00334484" w14:paraId="16AFAE32" w14:textId="77777777" w:rsidTr="6EF847A3">
        <w:trPr>
          <w:trHeight w:val="525"/>
        </w:trPr>
        <w:tc>
          <w:tcPr>
            <w:tcW w:w="1229" w:type="dxa"/>
            <w:tcBorders>
              <w:top w:val="nil"/>
              <w:left w:val="nil"/>
              <w:bottom w:val="nil"/>
              <w:right w:val="nil"/>
            </w:tcBorders>
            <w:shd w:val="clear" w:color="auto" w:fill="auto"/>
            <w:hideMark/>
          </w:tcPr>
          <w:p w14:paraId="5649F2EC"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Obrero</w:t>
            </w:r>
          </w:p>
        </w:tc>
        <w:tc>
          <w:tcPr>
            <w:tcW w:w="1200" w:type="dxa"/>
            <w:tcBorders>
              <w:top w:val="nil"/>
              <w:left w:val="nil"/>
              <w:bottom w:val="nil"/>
              <w:right w:val="nil"/>
            </w:tcBorders>
            <w:shd w:val="clear" w:color="auto" w:fill="auto"/>
            <w:noWrap/>
            <w:vAlign w:val="center"/>
            <w:hideMark/>
          </w:tcPr>
          <w:p w14:paraId="0FF0216E"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13</w:t>
            </w:r>
          </w:p>
        </w:tc>
        <w:tc>
          <w:tcPr>
            <w:tcW w:w="1200" w:type="dxa"/>
            <w:tcBorders>
              <w:top w:val="nil"/>
              <w:left w:val="nil"/>
              <w:bottom w:val="nil"/>
              <w:right w:val="nil"/>
            </w:tcBorders>
            <w:shd w:val="clear" w:color="auto" w:fill="auto"/>
            <w:noWrap/>
            <w:vAlign w:val="center"/>
            <w:hideMark/>
          </w:tcPr>
          <w:p w14:paraId="5ECA1B9F"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10</w:t>
            </w:r>
          </w:p>
        </w:tc>
        <w:tc>
          <w:tcPr>
            <w:tcW w:w="1200" w:type="dxa"/>
            <w:tcBorders>
              <w:top w:val="nil"/>
              <w:left w:val="nil"/>
              <w:bottom w:val="nil"/>
              <w:right w:val="nil"/>
            </w:tcBorders>
            <w:shd w:val="clear" w:color="auto" w:fill="auto"/>
            <w:noWrap/>
            <w:vAlign w:val="center"/>
            <w:hideMark/>
          </w:tcPr>
          <w:p w14:paraId="2EDD2C60"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7</w:t>
            </w:r>
          </w:p>
        </w:tc>
        <w:tc>
          <w:tcPr>
            <w:tcW w:w="1200" w:type="dxa"/>
            <w:tcBorders>
              <w:top w:val="nil"/>
              <w:left w:val="nil"/>
              <w:bottom w:val="nil"/>
              <w:right w:val="nil"/>
            </w:tcBorders>
            <w:shd w:val="clear" w:color="auto" w:fill="auto"/>
            <w:noWrap/>
            <w:vAlign w:val="center"/>
            <w:hideMark/>
          </w:tcPr>
          <w:p w14:paraId="3F16A2CE" w14:textId="521557E8" w:rsidR="00334484" w:rsidRPr="00334484" w:rsidRDefault="00334484" w:rsidP="6EF847A3">
            <w:pPr>
              <w:spacing w:after="0" w:line="240" w:lineRule="auto"/>
              <w:jc w:val="right"/>
              <w:rPr>
                <w:rFonts w:ascii="Times New Roman" w:eastAsia="Times New Roman" w:hAnsi="Times New Roman" w:cs="Times New Roman"/>
                <w:color w:val="000000" w:themeColor="text1"/>
                <w:sz w:val="20"/>
                <w:szCs w:val="20"/>
                <w:lang w:val="es-MX" w:eastAsia="es-MX"/>
              </w:rPr>
            </w:pPr>
          </w:p>
        </w:tc>
      </w:tr>
      <w:tr w:rsidR="00334484" w:rsidRPr="00334484" w14:paraId="7327A57B" w14:textId="77777777" w:rsidTr="6EF847A3">
        <w:trPr>
          <w:trHeight w:val="570"/>
        </w:trPr>
        <w:tc>
          <w:tcPr>
            <w:tcW w:w="1229" w:type="dxa"/>
            <w:tcBorders>
              <w:top w:val="nil"/>
              <w:left w:val="nil"/>
              <w:bottom w:val="nil"/>
              <w:right w:val="nil"/>
            </w:tcBorders>
            <w:shd w:val="clear" w:color="auto" w:fill="auto"/>
            <w:hideMark/>
          </w:tcPr>
          <w:p w14:paraId="68BE1336"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Comerciante</w:t>
            </w:r>
          </w:p>
        </w:tc>
        <w:tc>
          <w:tcPr>
            <w:tcW w:w="1200" w:type="dxa"/>
            <w:tcBorders>
              <w:top w:val="nil"/>
              <w:left w:val="nil"/>
              <w:bottom w:val="nil"/>
              <w:right w:val="nil"/>
            </w:tcBorders>
            <w:shd w:val="clear" w:color="auto" w:fill="auto"/>
            <w:noWrap/>
            <w:vAlign w:val="center"/>
            <w:hideMark/>
          </w:tcPr>
          <w:p w14:paraId="6AABAC29"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6</w:t>
            </w:r>
          </w:p>
        </w:tc>
        <w:tc>
          <w:tcPr>
            <w:tcW w:w="1200" w:type="dxa"/>
            <w:tcBorders>
              <w:top w:val="nil"/>
              <w:left w:val="nil"/>
              <w:bottom w:val="nil"/>
              <w:right w:val="nil"/>
            </w:tcBorders>
            <w:shd w:val="clear" w:color="auto" w:fill="auto"/>
            <w:noWrap/>
            <w:vAlign w:val="center"/>
            <w:hideMark/>
          </w:tcPr>
          <w:p w14:paraId="001A3D4C"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8</w:t>
            </w:r>
          </w:p>
        </w:tc>
        <w:tc>
          <w:tcPr>
            <w:tcW w:w="1200" w:type="dxa"/>
            <w:tcBorders>
              <w:top w:val="nil"/>
              <w:left w:val="nil"/>
              <w:bottom w:val="nil"/>
              <w:right w:val="nil"/>
            </w:tcBorders>
            <w:shd w:val="clear" w:color="auto" w:fill="auto"/>
            <w:noWrap/>
            <w:vAlign w:val="center"/>
            <w:hideMark/>
          </w:tcPr>
          <w:p w14:paraId="0C20F3DB"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6</w:t>
            </w:r>
          </w:p>
        </w:tc>
        <w:tc>
          <w:tcPr>
            <w:tcW w:w="1200" w:type="dxa"/>
            <w:tcBorders>
              <w:top w:val="nil"/>
              <w:left w:val="nil"/>
              <w:bottom w:val="nil"/>
              <w:right w:val="nil"/>
            </w:tcBorders>
            <w:shd w:val="clear" w:color="auto" w:fill="auto"/>
            <w:noWrap/>
            <w:vAlign w:val="center"/>
            <w:hideMark/>
          </w:tcPr>
          <w:p w14:paraId="62B27CEF" w14:textId="682DE36C" w:rsidR="00334484" w:rsidRPr="00334484" w:rsidRDefault="00334484" w:rsidP="6EF847A3">
            <w:pPr>
              <w:spacing w:after="0" w:line="240" w:lineRule="auto"/>
              <w:jc w:val="right"/>
              <w:rPr>
                <w:rFonts w:ascii="Times New Roman" w:eastAsia="Times New Roman" w:hAnsi="Times New Roman" w:cs="Times New Roman"/>
                <w:color w:val="000000" w:themeColor="text1"/>
                <w:sz w:val="20"/>
                <w:szCs w:val="20"/>
                <w:lang w:val="es-MX" w:eastAsia="es-MX"/>
              </w:rPr>
            </w:pPr>
          </w:p>
        </w:tc>
      </w:tr>
      <w:tr w:rsidR="00334484" w:rsidRPr="00334484" w14:paraId="24ADD06F" w14:textId="77777777" w:rsidTr="6EF847A3">
        <w:trPr>
          <w:trHeight w:val="270"/>
        </w:trPr>
        <w:tc>
          <w:tcPr>
            <w:tcW w:w="1229" w:type="dxa"/>
            <w:tcBorders>
              <w:top w:val="nil"/>
              <w:left w:val="nil"/>
              <w:bottom w:val="nil"/>
              <w:right w:val="nil"/>
            </w:tcBorders>
            <w:shd w:val="clear" w:color="auto" w:fill="auto"/>
            <w:hideMark/>
          </w:tcPr>
          <w:p w14:paraId="62DD7FC9"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Empleado</w:t>
            </w:r>
          </w:p>
        </w:tc>
        <w:tc>
          <w:tcPr>
            <w:tcW w:w="1200" w:type="dxa"/>
            <w:tcBorders>
              <w:top w:val="nil"/>
              <w:left w:val="nil"/>
              <w:bottom w:val="nil"/>
              <w:right w:val="nil"/>
            </w:tcBorders>
            <w:shd w:val="clear" w:color="auto" w:fill="auto"/>
            <w:noWrap/>
            <w:vAlign w:val="center"/>
            <w:hideMark/>
          </w:tcPr>
          <w:p w14:paraId="14AAEAD5"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51</w:t>
            </w:r>
          </w:p>
        </w:tc>
        <w:tc>
          <w:tcPr>
            <w:tcW w:w="1200" w:type="dxa"/>
            <w:tcBorders>
              <w:top w:val="nil"/>
              <w:left w:val="nil"/>
              <w:bottom w:val="nil"/>
              <w:right w:val="nil"/>
            </w:tcBorders>
            <w:shd w:val="clear" w:color="auto" w:fill="auto"/>
            <w:noWrap/>
            <w:vAlign w:val="center"/>
            <w:hideMark/>
          </w:tcPr>
          <w:p w14:paraId="565DB3E3"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31</w:t>
            </w:r>
          </w:p>
        </w:tc>
        <w:tc>
          <w:tcPr>
            <w:tcW w:w="1200" w:type="dxa"/>
            <w:tcBorders>
              <w:top w:val="nil"/>
              <w:left w:val="nil"/>
              <w:bottom w:val="nil"/>
              <w:right w:val="nil"/>
            </w:tcBorders>
            <w:shd w:val="clear" w:color="auto" w:fill="auto"/>
            <w:noWrap/>
            <w:vAlign w:val="center"/>
            <w:hideMark/>
          </w:tcPr>
          <w:p w14:paraId="2A4A93D0"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15</w:t>
            </w:r>
          </w:p>
        </w:tc>
        <w:tc>
          <w:tcPr>
            <w:tcW w:w="1200" w:type="dxa"/>
            <w:tcBorders>
              <w:top w:val="nil"/>
              <w:left w:val="nil"/>
              <w:bottom w:val="nil"/>
              <w:right w:val="nil"/>
            </w:tcBorders>
            <w:shd w:val="clear" w:color="auto" w:fill="auto"/>
            <w:noWrap/>
            <w:vAlign w:val="center"/>
            <w:hideMark/>
          </w:tcPr>
          <w:p w14:paraId="0E5B45A9" w14:textId="6132B797" w:rsidR="00334484" w:rsidRPr="00334484" w:rsidRDefault="00334484" w:rsidP="6EF847A3">
            <w:pPr>
              <w:spacing w:after="0" w:line="240" w:lineRule="auto"/>
              <w:jc w:val="right"/>
              <w:rPr>
                <w:rFonts w:ascii="Times New Roman" w:eastAsia="Times New Roman" w:hAnsi="Times New Roman" w:cs="Times New Roman"/>
                <w:color w:val="000000" w:themeColor="text1"/>
                <w:sz w:val="20"/>
                <w:szCs w:val="20"/>
                <w:lang w:val="es-MX" w:eastAsia="es-MX"/>
              </w:rPr>
            </w:pPr>
          </w:p>
        </w:tc>
      </w:tr>
      <w:tr w:rsidR="00334484" w:rsidRPr="00334484" w14:paraId="34948505" w14:textId="77777777" w:rsidTr="6EF847A3">
        <w:trPr>
          <w:trHeight w:val="270"/>
        </w:trPr>
        <w:tc>
          <w:tcPr>
            <w:tcW w:w="1229" w:type="dxa"/>
            <w:tcBorders>
              <w:top w:val="nil"/>
              <w:left w:val="nil"/>
              <w:bottom w:val="nil"/>
              <w:right w:val="nil"/>
            </w:tcBorders>
            <w:shd w:val="clear" w:color="auto" w:fill="auto"/>
            <w:hideMark/>
          </w:tcPr>
          <w:p w14:paraId="38752360"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Profesionista</w:t>
            </w:r>
          </w:p>
        </w:tc>
        <w:tc>
          <w:tcPr>
            <w:tcW w:w="1200" w:type="dxa"/>
            <w:tcBorders>
              <w:top w:val="nil"/>
              <w:left w:val="nil"/>
              <w:bottom w:val="nil"/>
              <w:right w:val="nil"/>
            </w:tcBorders>
            <w:shd w:val="clear" w:color="auto" w:fill="auto"/>
            <w:noWrap/>
            <w:vAlign w:val="center"/>
            <w:hideMark/>
          </w:tcPr>
          <w:p w14:paraId="0A3FA3FF"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8</w:t>
            </w:r>
          </w:p>
        </w:tc>
        <w:tc>
          <w:tcPr>
            <w:tcW w:w="1200" w:type="dxa"/>
            <w:tcBorders>
              <w:top w:val="nil"/>
              <w:left w:val="nil"/>
              <w:bottom w:val="nil"/>
              <w:right w:val="nil"/>
            </w:tcBorders>
            <w:shd w:val="clear" w:color="auto" w:fill="auto"/>
            <w:noWrap/>
            <w:vAlign w:val="center"/>
            <w:hideMark/>
          </w:tcPr>
          <w:p w14:paraId="6441EE3C"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7</w:t>
            </w:r>
          </w:p>
        </w:tc>
        <w:tc>
          <w:tcPr>
            <w:tcW w:w="1200" w:type="dxa"/>
            <w:tcBorders>
              <w:top w:val="nil"/>
              <w:left w:val="nil"/>
              <w:bottom w:val="nil"/>
              <w:right w:val="nil"/>
            </w:tcBorders>
            <w:shd w:val="clear" w:color="auto" w:fill="auto"/>
            <w:noWrap/>
            <w:vAlign w:val="center"/>
            <w:hideMark/>
          </w:tcPr>
          <w:p w14:paraId="0636D865"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12</w:t>
            </w:r>
          </w:p>
        </w:tc>
        <w:tc>
          <w:tcPr>
            <w:tcW w:w="1200" w:type="dxa"/>
            <w:tcBorders>
              <w:top w:val="nil"/>
              <w:left w:val="nil"/>
              <w:bottom w:val="nil"/>
              <w:right w:val="nil"/>
            </w:tcBorders>
            <w:shd w:val="clear" w:color="auto" w:fill="auto"/>
            <w:noWrap/>
            <w:vAlign w:val="center"/>
            <w:hideMark/>
          </w:tcPr>
          <w:p w14:paraId="00C2F429" w14:textId="4DFD0333" w:rsidR="00334484" w:rsidRPr="00334484" w:rsidRDefault="00334484" w:rsidP="6EF847A3">
            <w:pPr>
              <w:spacing w:after="0" w:line="240" w:lineRule="auto"/>
              <w:jc w:val="right"/>
              <w:rPr>
                <w:rFonts w:ascii="Times New Roman" w:eastAsia="Times New Roman" w:hAnsi="Times New Roman" w:cs="Times New Roman"/>
                <w:color w:val="000000" w:themeColor="text1"/>
                <w:sz w:val="20"/>
                <w:szCs w:val="20"/>
                <w:lang w:val="es-MX" w:eastAsia="es-MX"/>
              </w:rPr>
            </w:pPr>
          </w:p>
        </w:tc>
      </w:tr>
      <w:tr w:rsidR="00334484" w:rsidRPr="00334484" w14:paraId="58F193D6" w14:textId="77777777" w:rsidTr="6EF847A3">
        <w:trPr>
          <w:trHeight w:val="270"/>
        </w:trPr>
        <w:tc>
          <w:tcPr>
            <w:tcW w:w="1229" w:type="dxa"/>
            <w:tcBorders>
              <w:top w:val="nil"/>
              <w:left w:val="nil"/>
              <w:bottom w:val="nil"/>
              <w:right w:val="nil"/>
            </w:tcBorders>
            <w:shd w:val="clear" w:color="auto" w:fill="auto"/>
            <w:hideMark/>
          </w:tcPr>
          <w:p w14:paraId="34E01F63"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Ama de casa</w:t>
            </w:r>
          </w:p>
        </w:tc>
        <w:tc>
          <w:tcPr>
            <w:tcW w:w="1200" w:type="dxa"/>
            <w:tcBorders>
              <w:top w:val="nil"/>
              <w:left w:val="nil"/>
              <w:bottom w:val="nil"/>
              <w:right w:val="nil"/>
            </w:tcBorders>
            <w:shd w:val="clear" w:color="auto" w:fill="auto"/>
            <w:noWrap/>
            <w:vAlign w:val="center"/>
            <w:hideMark/>
          </w:tcPr>
          <w:p w14:paraId="3EE11F53"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49</w:t>
            </w:r>
          </w:p>
        </w:tc>
        <w:tc>
          <w:tcPr>
            <w:tcW w:w="1200" w:type="dxa"/>
            <w:tcBorders>
              <w:top w:val="nil"/>
              <w:left w:val="nil"/>
              <w:bottom w:val="nil"/>
              <w:right w:val="nil"/>
            </w:tcBorders>
            <w:shd w:val="clear" w:color="auto" w:fill="auto"/>
            <w:noWrap/>
            <w:vAlign w:val="center"/>
            <w:hideMark/>
          </w:tcPr>
          <w:p w14:paraId="6D0726AC"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33</w:t>
            </w:r>
          </w:p>
        </w:tc>
        <w:tc>
          <w:tcPr>
            <w:tcW w:w="1200" w:type="dxa"/>
            <w:tcBorders>
              <w:top w:val="nil"/>
              <w:left w:val="nil"/>
              <w:bottom w:val="nil"/>
              <w:right w:val="nil"/>
            </w:tcBorders>
            <w:shd w:val="clear" w:color="auto" w:fill="auto"/>
            <w:noWrap/>
            <w:vAlign w:val="center"/>
            <w:hideMark/>
          </w:tcPr>
          <w:p w14:paraId="044B543D"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13</w:t>
            </w:r>
          </w:p>
        </w:tc>
        <w:tc>
          <w:tcPr>
            <w:tcW w:w="1200" w:type="dxa"/>
            <w:tcBorders>
              <w:top w:val="nil"/>
              <w:left w:val="nil"/>
              <w:bottom w:val="nil"/>
              <w:right w:val="nil"/>
            </w:tcBorders>
            <w:shd w:val="clear" w:color="auto" w:fill="auto"/>
            <w:noWrap/>
            <w:vAlign w:val="center"/>
            <w:hideMark/>
          </w:tcPr>
          <w:p w14:paraId="6CF5E279" w14:textId="70B8C356" w:rsidR="00334484" w:rsidRPr="00334484" w:rsidRDefault="00334484" w:rsidP="6EF847A3">
            <w:pPr>
              <w:spacing w:after="0" w:line="240" w:lineRule="auto"/>
              <w:jc w:val="right"/>
              <w:rPr>
                <w:rFonts w:ascii="Times New Roman" w:eastAsia="Times New Roman" w:hAnsi="Times New Roman" w:cs="Times New Roman"/>
                <w:color w:val="000000" w:themeColor="text1"/>
                <w:sz w:val="20"/>
                <w:szCs w:val="20"/>
                <w:lang w:val="es-MX" w:eastAsia="es-MX"/>
              </w:rPr>
            </w:pPr>
          </w:p>
        </w:tc>
      </w:tr>
      <w:tr w:rsidR="00334484" w:rsidRPr="00334484" w14:paraId="7FC1CCC8" w14:textId="77777777" w:rsidTr="6EF847A3">
        <w:trPr>
          <w:trHeight w:val="270"/>
        </w:trPr>
        <w:tc>
          <w:tcPr>
            <w:tcW w:w="1229" w:type="dxa"/>
            <w:tcBorders>
              <w:top w:val="nil"/>
              <w:left w:val="nil"/>
              <w:bottom w:val="nil"/>
              <w:right w:val="nil"/>
            </w:tcBorders>
            <w:shd w:val="clear" w:color="auto" w:fill="auto"/>
            <w:hideMark/>
          </w:tcPr>
          <w:p w14:paraId="654B2BDA"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Pensionado</w:t>
            </w:r>
          </w:p>
        </w:tc>
        <w:tc>
          <w:tcPr>
            <w:tcW w:w="1200" w:type="dxa"/>
            <w:tcBorders>
              <w:top w:val="nil"/>
              <w:left w:val="nil"/>
              <w:bottom w:val="nil"/>
              <w:right w:val="nil"/>
            </w:tcBorders>
            <w:shd w:val="clear" w:color="auto" w:fill="auto"/>
            <w:noWrap/>
            <w:vAlign w:val="center"/>
            <w:hideMark/>
          </w:tcPr>
          <w:p w14:paraId="5E075291"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1</w:t>
            </w:r>
          </w:p>
        </w:tc>
        <w:tc>
          <w:tcPr>
            <w:tcW w:w="1200" w:type="dxa"/>
            <w:tcBorders>
              <w:top w:val="nil"/>
              <w:left w:val="nil"/>
              <w:bottom w:val="nil"/>
              <w:right w:val="nil"/>
            </w:tcBorders>
            <w:shd w:val="clear" w:color="auto" w:fill="auto"/>
            <w:noWrap/>
            <w:vAlign w:val="center"/>
            <w:hideMark/>
          </w:tcPr>
          <w:p w14:paraId="7E2A6AAA"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1</w:t>
            </w:r>
          </w:p>
        </w:tc>
        <w:tc>
          <w:tcPr>
            <w:tcW w:w="1200" w:type="dxa"/>
            <w:tcBorders>
              <w:top w:val="nil"/>
              <w:left w:val="nil"/>
              <w:bottom w:val="nil"/>
              <w:right w:val="nil"/>
            </w:tcBorders>
            <w:shd w:val="clear" w:color="auto" w:fill="auto"/>
            <w:noWrap/>
            <w:vAlign w:val="center"/>
            <w:hideMark/>
          </w:tcPr>
          <w:p w14:paraId="060F8207"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0</w:t>
            </w:r>
          </w:p>
        </w:tc>
        <w:tc>
          <w:tcPr>
            <w:tcW w:w="1200" w:type="dxa"/>
            <w:tcBorders>
              <w:top w:val="nil"/>
              <w:left w:val="nil"/>
              <w:bottom w:val="nil"/>
              <w:right w:val="nil"/>
            </w:tcBorders>
            <w:shd w:val="clear" w:color="auto" w:fill="auto"/>
            <w:noWrap/>
            <w:vAlign w:val="center"/>
            <w:hideMark/>
          </w:tcPr>
          <w:p w14:paraId="0395735B" w14:textId="7C38DB7C" w:rsidR="00334484" w:rsidRPr="00334484" w:rsidRDefault="00334484" w:rsidP="6EF847A3">
            <w:pPr>
              <w:spacing w:after="0" w:line="240" w:lineRule="auto"/>
              <w:jc w:val="right"/>
              <w:rPr>
                <w:rFonts w:ascii="Times New Roman" w:eastAsia="Times New Roman" w:hAnsi="Times New Roman" w:cs="Times New Roman"/>
                <w:color w:val="000000" w:themeColor="text1"/>
                <w:sz w:val="20"/>
                <w:szCs w:val="20"/>
                <w:lang w:val="es-MX" w:eastAsia="es-MX"/>
              </w:rPr>
            </w:pPr>
          </w:p>
        </w:tc>
      </w:tr>
      <w:tr w:rsidR="00334484" w:rsidRPr="00334484" w14:paraId="22FF7F4B" w14:textId="77777777" w:rsidTr="6EF847A3">
        <w:trPr>
          <w:trHeight w:val="270"/>
        </w:trPr>
        <w:tc>
          <w:tcPr>
            <w:tcW w:w="1229" w:type="dxa"/>
            <w:tcBorders>
              <w:top w:val="nil"/>
              <w:left w:val="nil"/>
              <w:bottom w:val="nil"/>
              <w:right w:val="nil"/>
            </w:tcBorders>
            <w:shd w:val="clear" w:color="auto" w:fill="auto"/>
            <w:hideMark/>
          </w:tcPr>
          <w:p w14:paraId="59BA21CD"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Jubilado</w:t>
            </w:r>
          </w:p>
        </w:tc>
        <w:tc>
          <w:tcPr>
            <w:tcW w:w="1200" w:type="dxa"/>
            <w:tcBorders>
              <w:top w:val="nil"/>
              <w:left w:val="nil"/>
              <w:bottom w:val="nil"/>
              <w:right w:val="nil"/>
            </w:tcBorders>
            <w:shd w:val="clear" w:color="auto" w:fill="auto"/>
            <w:noWrap/>
            <w:vAlign w:val="center"/>
            <w:hideMark/>
          </w:tcPr>
          <w:p w14:paraId="42FA9053"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2</w:t>
            </w:r>
          </w:p>
        </w:tc>
        <w:tc>
          <w:tcPr>
            <w:tcW w:w="1200" w:type="dxa"/>
            <w:tcBorders>
              <w:top w:val="nil"/>
              <w:left w:val="nil"/>
              <w:bottom w:val="nil"/>
              <w:right w:val="nil"/>
            </w:tcBorders>
            <w:shd w:val="clear" w:color="auto" w:fill="auto"/>
            <w:noWrap/>
            <w:vAlign w:val="center"/>
            <w:hideMark/>
          </w:tcPr>
          <w:p w14:paraId="60180889"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0</w:t>
            </w:r>
          </w:p>
        </w:tc>
        <w:tc>
          <w:tcPr>
            <w:tcW w:w="1200" w:type="dxa"/>
            <w:tcBorders>
              <w:top w:val="nil"/>
              <w:left w:val="nil"/>
              <w:bottom w:val="nil"/>
              <w:right w:val="nil"/>
            </w:tcBorders>
            <w:shd w:val="clear" w:color="auto" w:fill="auto"/>
            <w:noWrap/>
            <w:vAlign w:val="center"/>
            <w:hideMark/>
          </w:tcPr>
          <w:p w14:paraId="4386F0E9"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2</w:t>
            </w:r>
          </w:p>
        </w:tc>
        <w:tc>
          <w:tcPr>
            <w:tcW w:w="1200" w:type="dxa"/>
            <w:tcBorders>
              <w:top w:val="nil"/>
              <w:left w:val="nil"/>
              <w:bottom w:val="nil"/>
              <w:right w:val="nil"/>
            </w:tcBorders>
            <w:shd w:val="clear" w:color="auto" w:fill="auto"/>
            <w:noWrap/>
            <w:vAlign w:val="center"/>
            <w:hideMark/>
          </w:tcPr>
          <w:p w14:paraId="51D137ED" w14:textId="647B9D7B" w:rsidR="00334484" w:rsidRPr="00334484" w:rsidRDefault="00334484" w:rsidP="6EF847A3">
            <w:pPr>
              <w:spacing w:after="0" w:line="240" w:lineRule="auto"/>
              <w:jc w:val="right"/>
              <w:rPr>
                <w:rFonts w:ascii="Times New Roman" w:eastAsia="Times New Roman" w:hAnsi="Times New Roman" w:cs="Times New Roman"/>
                <w:color w:val="000000" w:themeColor="text1"/>
                <w:sz w:val="20"/>
                <w:szCs w:val="20"/>
                <w:lang w:val="es-MX" w:eastAsia="es-MX"/>
              </w:rPr>
            </w:pPr>
          </w:p>
        </w:tc>
      </w:tr>
      <w:tr w:rsidR="00334484" w:rsidRPr="00334484" w14:paraId="4F123CF8" w14:textId="77777777" w:rsidTr="6EF847A3">
        <w:trPr>
          <w:trHeight w:val="270"/>
        </w:trPr>
        <w:tc>
          <w:tcPr>
            <w:tcW w:w="1229" w:type="dxa"/>
            <w:tcBorders>
              <w:top w:val="nil"/>
              <w:left w:val="nil"/>
              <w:bottom w:val="nil"/>
              <w:right w:val="nil"/>
            </w:tcBorders>
            <w:shd w:val="clear" w:color="auto" w:fill="auto"/>
            <w:hideMark/>
          </w:tcPr>
          <w:p w14:paraId="15E49026"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No contesto</w:t>
            </w:r>
          </w:p>
        </w:tc>
        <w:tc>
          <w:tcPr>
            <w:tcW w:w="1200" w:type="dxa"/>
            <w:tcBorders>
              <w:top w:val="nil"/>
              <w:left w:val="nil"/>
              <w:bottom w:val="nil"/>
              <w:right w:val="nil"/>
            </w:tcBorders>
            <w:shd w:val="clear" w:color="auto" w:fill="auto"/>
            <w:noWrap/>
            <w:vAlign w:val="center"/>
            <w:hideMark/>
          </w:tcPr>
          <w:p w14:paraId="3B5F4251"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4</w:t>
            </w:r>
          </w:p>
        </w:tc>
        <w:tc>
          <w:tcPr>
            <w:tcW w:w="1200" w:type="dxa"/>
            <w:tcBorders>
              <w:top w:val="nil"/>
              <w:left w:val="nil"/>
              <w:bottom w:val="nil"/>
              <w:right w:val="nil"/>
            </w:tcBorders>
            <w:shd w:val="clear" w:color="auto" w:fill="auto"/>
            <w:noWrap/>
            <w:vAlign w:val="center"/>
            <w:hideMark/>
          </w:tcPr>
          <w:p w14:paraId="6A9D8F9D"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3</w:t>
            </w:r>
          </w:p>
        </w:tc>
        <w:tc>
          <w:tcPr>
            <w:tcW w:w="1200" w:type="dxa"/>
            <w:tcBorders>
              <w:top w:val="nil"/>
              <w:left w:val="nil"/>
              <w:bottom w:val="nil"/>
              <w:right w:val="nil"/>
            </w:tcBorders>
            <w:shd w:val="clear" w:color="auto" w:fill="auto"/>
            <w:noWrap/>
            <w:vAlign w:val="center"/>
            <w:hideMark/>
          </w:tcPr>
          <w:p w14:paraId="46445A92"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6</w:t>
            </w:r>
          </w:p>
        </w:tc>
        <w:tc>
          <w:tcPr>
            <w:tcW w:w="1200" w:type="dxa"/>
            <w:tcBorders>
              <w:top w:val="nil"/>
              <w:left w:val="nil"/>
              <w:bottom w:val="nil"/>
              <w:right w:val="nil"/>
            </w:tcBorders>
            <w:shd w:val="clear" w:color="auto" w:fill="auto"/>
            <w:noWrap/>
            <w:vAlign w:val="center"/>
            <w:hideMark/>
          </w:tcPr>
          <w:p w14:paraId="2D4A390C" w14:textId="3F16C006" w:rsidR="00334484" w:rsidRPr="00334484" w:rsidRDefault="00334484" w:rsidP="6EF847A3">
            <w:pPr>
              <w:spacing w:after="0" w:line="240" w:lineRule="auto"/>
              <w:jc w:val="right"/>
              <w:rPr>
                <w:rFonts w:ascii="Times New Roman" w:eastAsia="Times New Roman" w:hAnsi="Times New Roman" w:cs="Times New Roman"/>
                <w:color w:val="000000" w:themeColor="text1"/>
                <w:sz w:val="20"/>
                <w:szCs w:val="20"/>
                <w:lang w:val="es-MX" w:eastAsia="es-MX"/>
              </w:rPr>
            </w:pPr>
          </w:p>
        </w:tc>
      </w:tr>
      <w:tr w:rsidR="00334484" w:rsidRPr="00334484" w14:paraId="6F87A21B" w14:textId="77777777" w:rsidTr="6EF847A3">
        <w:trPr>
          <w:trHeight w:val="270"/>
        </w:trPr>
        <w:tc>
          <w:tcPr>
            <w:tcW w:w="1229" w:type="dxa"/>
            <w:tcBorders>
              <w:top w:val="nil"/>
              <w:left w:val="nil"/>
              <w:bottom w:val="single" w:sz="4" w:space="0" w:color="auto"/>
              <w:right w:val="nil"/>
            </w:tcBorders>
            <w:shd w:val="clear" w:color="auto" w:fill="auto"/>
            <w:noWrap/>
            <w:vAlign w:val="bottom"/>
            <w:hideMark/>
          </w:tcPr>
          <w:p w14:paraId="5F73DE77" w14:textId="77777777" w:rsidR="00334484" w:rsidRPr="00334484" w:rsidRDefault="00334484" w:rsidP="00334484">
            <w:pPr>
              <w:spacing w:after="0" w:line="240" w:lineRule="auto"/>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Total</w:t>
            </w:r>
          </w:p>
        </w:tc>
        <w:tc>
          <w:tcPr>
            <w:tcW w:w="1200" w:type="dxa"/>
            <w:tcBorders>
              <w:top w:val="nil"/>
              <w:left w:val="nil"/>
              <w:bottom w:val="single" w:sz="4" w:space="0" w:color="auto"/>
              <w:right w:val="nil"/>
            </w:tcBorders>
            <w:shd w:val="clear" w:color="auto" w:fill="auto"/>
            <w:noWrap/>
            <w:vAlign w:val="bottom"/>
            <w:hideMark/>
          </w:tcPr>
          <w:p w14:paraId="4B62CDD0"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303</w:t>
            </w:r>
          </w:p>
        </w:tc>
        <w:tc>
          <w:tcPr>
            <w:tcW w:w="1200" w:type="dxa"/>
            <w:tcBorders>
              <w:top w:val="nil"/>
              <w:left w:val="nil"/>
              <w:bottom w:val="single" w:sz="4" w:space="0" w:color="auto"/>
              <w:right w:val="nil"/>
            </w:tcBorders>
            <w:shd w:val="clear" w:color="auto" w:fill="auto"/>
            <w:noWrap/>
            <w:vAlign w:val="bottom"/>
            <w:hideMark/>
          </w:tcPr>
          <w:p w14:paraId="504E4D67"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198</w:t>
            </w:r>
          </w:p>
        </w:tc>
        <w:tc>
          <w:tcPr>
            <w:tcW w:w="1200" w:type="dxa"/>
            <w:tcBorders>
              <w:top w:val="nil"/>
              <w:left w:val="nil"/>
              <w:bottom w:val="single" w:sz="4" w:space="0" w:color="auto"/>
              <w:right w:val="nil"/>
            </w:tcBorders>
            <w:shd w:val="clear" w:color="auto" w:fill="auto"/>
            <w:noWrap/>
            <w:vAlign w:val="bottom"/>
            <w:hideMark/>
          </w:tcPr>
          <w:p w14:paraId="6CCCAA99" w14:textId="77777777" w:rsidR="00334484" w:rsidRPr="00334484" w:rsidRDefault="00334484" w:rsidP="00334484">
            <w:pPr>
              <w:spacing w:after="0" w:line="240" w:lineRule="auto"/>
              <w:jc w:val="right"/>
              <w:rPr>
                <w:rFonts w:ascii="Times New Roman" w:eastAsia="Times New Roman" w:hAnsi="Times New Roman" w:cs="Times New Roman"/>
                <w:color w:val="000000"/>
                <w:sz w:val="20"/>
                <w:szCs w:val="20"/>
                <w:lang w:val="es-MX" w:eastAsia="es-MX"/>
              </w:rPr>
            </w:pPr>
            <w:r w:rsidRPr="00334484">
              <w:rPr>
                <w:rFonts w:ascii="Times New Roman" w:eastAsia="Times New Roman" w:hAnsi="Times New Roman" w:cs="Times New Roman"/>
                <w:color w:val="000000"/>
                <w:sz w:val="20"/>
                <w:szCs w:val="20"/>
                <w:lang w:val="es-MX" w:eastAsia="es-MX"/>
              </w:rPr>
              <w:t>127</w:t>
            </w:r>
          </w:p>
        </w:tc>
        <w:tc>
          <w:tcPr>
            <w:tcW w:w="1200" w:type="dxa"/>
            <w:tcBorders>
              <w:top w:val="nil"/>
              <w:left w:val="nil"/>
              <w:bottom w:val="single" w:sz="4" w:space="0" w:color="auto"/>
              <w:right w:val="nil"/>
            </w:tcBorders>
            <w:shd w:val="clear" w:color="auto" w:fill="auto"/>
            <w:noWrap/>
            <w:vAlign w:val="bottom"/>
            <w:hideMark/>
          </w:tcPr>
          <w:p w14:paraId="35BCC915" w14:textId="6A2A4743" w:rsidR="00334484" w:rsidRPr="00334484" w:rsidRDefault="00334484" w:rsidP="6EF847A3">
            <w:pPr>
              <w:spacing w:after="0" w:line="240" w:lineRule="auto"/>
              <w:jc w:val="right"/>
              <w:rPr>
                <w:rFonts w:ascii="Times New Roman" w:eastAsia="Times New Roman" w:hAnsi="Times New Roman" w:cs="Times New Roman"/>
                <w:color w:val="000000" w:themeColor="text1"/>
                <w:sz w:val="20"/>
                <w:szCs w:val="20"/>
                <w:lang w:val="es-MX" w:eastAsia="es-MX"/>
              </w:rPr>
            </w:pPr>
          </w:p>
        </w:tc>
      </w:tr>
    </w:tbl>
    <w:p w14:paraId="4FF6E76E" w14:textId="77777777" w:rsidR="00334484" w:rsidRDefault="008314A6" w:rsidP="00334484">
      <w:pPr>
        <w:pStyle w:val="Prrafodelista"/>
        <w:tabs>
          <w:tab w:val="left" w:pos="1305"/>
        </w:tabs>
        <w:ind w:left="0"/>
        <w:jc w:val="both"/>
        <w:rPr>
          <w:rFonts w:ascii="Times New Roman" w:hAnsi="Times New Roman" w:cs="Times New Roman"/>
          <w:sz w:val="20"/>
          <w:szCs w:val="20"/>
          <w:lang w:val="es-MX"/>
        </w:rPr>
      </w:pPr>
      <w:r>
        <w:rPr>
          <w:rFonts w:ascii="Times New Roman" w:hAnsi="Times New Roman" w:cs="Times New Roman"/>
          <w:sz w:val="20"/>
          <w:szCs w:val="20"/>
          <w:lang w:val="es-MX"/>
        </w:rPr>
        <w:t>Fuente: encuesta EH</w:t>
      </w:r>
      <w:r w:rsidR="00334484" w:rsidRPr="008B7BB5">
        <w:rPr>
          <w:rFonts w:ascii="Times New Roman" w:hAnsi="Times New Roman" w:cs="Times New Roman"/>
          <w:sz w:val="20"/>
          <w:szCs w:val="20"/>
          <w:lang w:val="es-MX"/>
        </w:rPr>
        <w:t xml:space="preserve"> de OIL-UJED</w:t>
      </w:r>
    </w:p>
    <w:p w14:paraId="326DBFF5" w14:textId="77777777" w:rsidR="00325163" w:rsidRDefault="00325163" w:rsidP="00E06F79">
      <w:pPr>
        <w:pStyle w:val="Prrafodelista"/>
        <w:tabs>
          <w:tab w:val="left" w:pos="1305"/>
        </w:tabs>
        <w:ind w:left="0"/>
        <w:jc w:val="both"/>
        <w:rPr>
          <w:rFonts w:ascii="Times New Roman" w:hAnsi="Times New Roman" w:cs="Times New Roman"/>
          <w:sz w:val="24"/>
          <w:szCs w:val="24"/>
          <w:lang w:val="es-MX"/>
        </w:rPr>
      </w:pPr>
    </w:p>
    <w:p w14:paraId="50131A87" w14:textId="77777777" w:rsidR="008314A6" w:rsidRDefault="008314A6" w:rsidP="00EC5075">
      <w:pPr>
        <w:pStyle w:val="Prrafodelista"/>
        <w:tabs>
          <w:tab w:val="left" w:pos="1305"/>
        </w:tabs>
        <w:spacing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La Tabla 2 muestra la ocupación de los integrantes de los Hogares participantes, donde la mayor frecuencia se presenta en la población estudiantil. Con respecto a la ocupación de los  los jefes de familia son empleados y las madres de familia se ocupan en actividades dentro del hogar.</w:t>
      </w:r>
    </w:p>
    <w:p w14:paraId="1797D1CE" w14:textId="77777777" w:rsidR="00372977" w:rsidRDefault="00372977" w:rsidP="00372977">
      <w:pPr>
        <w:shd w:val="clear" w:color="auto" w:fill="FFFFFF"/>
        <w:spacing w:after="0" w:line="360" w:lineRule="auto"/>
        <w:jc w:val="both"/>
        <w:rPr>
          <w:rFonts w:ascii="Times New Roman" w:eastAsia="Times New Roman" w:hAnsi="Times New Roman" w:cs="Times New Roman"/>
          <w:color w:val="222222"/>
          <w:sz w:val="24"/>
          <w:szCs w:val="24"/>
          <w:lang w:eastAsia="es-MX"/>
        </w:rPr>
      </w:pPr>
      <w:r w:rsidRPr="00372977">
        <w:rPr>
          <w:rFonts w:ascii="Times New Roman" w:eastAsia="Times New Roman" w:hAnsi="Times New Roman" w:cs="Times New Roman"/>
          <w:color w:val="222222"/>
          <w:sz w:val="24"/>
          <w:szCs w:val="24"/>
          <w:lang w:eastAsia="es-MX"/>
        </w:rPr>
        <w:t>En la tabla 3, podemos observar que la mayor participación e interés por parte de los empleadores se situó en el municipio de Santa María del Oro, ya que además del apoyo proporcionado en la respuesta de los instrumentos aportaron información a través de un foro donde de manera libre y en comunidad expresaron necesidades y realidades laborales. En el municipio de Santiago Papasquiaro se encuesto a 12 empleadores y en Tepehuanes solo a dos, que representan el 6.5% de total de la  muestra. </w:t>
      </w:r>
    </w:p>
    <w:p w14:paraId="0B135DD6" w14:textId="77777777" w:rsidR="00372977" w:rsidRPr="00372977" w:rsidRDefault="00372977" w:rsidP="00372977">
      <w:pPr>
        <w:shd w:val="clear" w:color="auto" w:fill="FFFFFF"/>
        <w:spacing w:after="0" w:line="360" w:lineRule="auto"/>
        <w:jc w:val="both"/>
        <w:rPr>
          <w:rFonts w:ascii="Times New Roman" w:eastAsia="Times New Roman" w:hAnsi="Times New Roman" w:cs="Times New Roman"/>
          <w:color w:val="222222"/>
          <w:sz w:val="24"/>
          <w:szCs w:val="24"/>
          <w:lang w:eastAsia="es-MX"/>
        </w:rPr>
      </w:pPr>
      <w:r w:rsidRPr="00372977">
        <w:rPr>
          <w:rFonts w:ascii="Times New Roman" w:eastAsia="Times New Roman" w:hAnsi="Times New Roman" w:cs="Times New Roman"/>
          <w:color w:val="222222"/>
          <w:sz w:val="24"/>
          <w:szCs w:val="24"/>
          <w:lang w:eastAsia="es-MX"/>
        </w:rPr>
        <w:t xml:space="preserve">Los giros de las empresas encuestadas se presentan en la tabla 4. La gran mayoría corresponde al comercio con un 41.9%, seguido por áreas gubernamentales y de la industria que representan actividades mineras y de la madera. Cabe mencionar que solo un bajo 3.2% </w:t>
      </w:r>
      <w:r w:rsidRPr="00372977">
        <w:rPr>
          <w:rFonts w:ascii="Times New Roman" w:eastAsia="Times New Roman" w:hAnsi="Times New Roman" w:cs="Times New Roman"/>
          <w:color w:val="222222"/>
          <w:sz w:val="24"/>
          <w:szCs w:val="24"/>
          <w:lang w:eastAsia="es-MX"/>
        </w:rPr>
        <w:lastRenderedPageBreak/>
        <w:t>se registró en el área agrícola, siendo posiblemente a que esta actividad se realiza a cabo de manera familiar y no en producción a grande escala.</w:t>
      </w:r>
    </w:p>
    <w:p w14:paraId="3BA57399" w14:textId="77777777" w:rsidR="00372977" w:rsidRPr="00372977" w:rsidRDefault="00372977" w:rsidP="00372977">
      <w:pPr>
        <w:shd w:val="clear" w:color="auto" w:fill="FFFFFF"/>
        <w:spacing w:after="0" w:line="360" w:lineRule="auto"/>
        <w:jc w:val="both"/>
        <w:rPr>
          <w:rFonts w:ascii="Times New Roman" w:eastAsia="Times New Roman" w:hAnsi="Times New Roman" w:cs="Times New Roman"/>
          <w:color w:val="222222"/>
          <w:sz w:val="24"/>
          <w:szCs w:val="24"/>
          <w:lang w:eastAsia="es-MX"/>
        </w:rPr>
      </w:pPr>
    </w:p>
    <w:tbl>
      <w:tblPr>
        <w:tblW w:w="5690" w:type="dxa"/>
        <w:tblBorders>
          <w:bottom w:val="single" w:sz="4" w:space="0" w:color="auto"/>
        </w:tblBorders>
        <w:tblLayout w:type="fixed"/>
        <w:tblCellMar>
          <w:left w:w="0" w:type="dxa"/>
          <w:right w:w="0" w:type="dxa"/>
        </w:tblCellMar>
        <w:tblLook w:val="0000" w:firstRow="0" w:lastRow="0" w:firstColumn="0" w:lastColumn="0" w:noHBand="0" w:noVBand="0"/>
      </w:tblPr>
      <w:tblGrid>
        <w:gridCol w:w="735"/>
        <w:gridCol w:w="2570"/>
        <w:gridCol w:w="1208"/>
        <w:gridCol w:w="1177"/>
      </w:tblGrid>
      <w:tr w:rsidR="00372977" w:rsidRPr="00372977" w14:paraId="08FB4BA7" w14:textId="77777777" w:rsidTr="0021658F">
        <w:trPr>
          <w:cantSplit/>
        </w:trPr>
        <w:tc>
          <w:tcPr>
            <w:tcW w:w="5690" w:type="dxa"/>
            <w:gridSpan w:val="4"/>
            <w:tcBorders>
              <w:bottom w:val="single" w:sz="4" w:space="0" w:color="auto"/>
            </w:tcBorders>
            <w:shd w:val="clear" w:color="auto" w:fill="FFFFFF"/>
          </w:tcPr>
          <w:p w14:paraId="36589079" w14:textId="77777777" w:rsidR="00372977" w:rsidRPr="00372977" w:rsidRDefault="00372977" w:rsidP="0021658F">
            <w:pPr>
              <w:autoSpaceDE w:val="0"/>
              <w:autoSpaceDN w:val="0"/>
              <w:adjustRightInd w:val="0"/>
              <w:spacing w:after="0" w:line="320" w:lineRule="atLeast"/>
              <w:ind w:left="60" w:right="60"/>
              <w:rPr>
                <w:rFonts w:ascii="Times New Roman" w:hAnsi="Times New Roman" w:cs="Times New Roman"/>
                <w:bCs/>
                <w:color w:val="000000"/>
                <w:sz w:val="24"/>
                <w:szCs w:val="24"/>
              </w:rPr>
            </w:pPr>
            <w:r w:rsidRPr="00372977">
              <w:rPr>
                <w:rFonts w:ascii="Times New Roman" w:hAnsi="Times New Roman" w:cs="Times New Roman"/>
                <w:bCs/>
                <w:color w:val="000000"/>
                <w:sz w:val="24"/>
                <w:szCs w:val="24"/>
              </w:rPr>
              <w:t xml:space="preserve">Tabla 3. </w:t>
            </w:r>
          </w:p>
          <w:p w14:paraId="7EAB341D" w14:textId="77777777" w:rsidR="00372977" w:rsidRPr="00372977" w:rsidRDefault="00372977" w:rsidP="0021658F">
            <w:pPr>
              <w:autoSpaceDE w:val="0"/>
              <w:autoSpaceDN w:val="0"/>
              <w:adjustRightInd w:val="0"/>
              <w:spacing w:after="0" w:line="320" w:lineRule="atLeast"/>
              <w:ind w:left="60" w:right="60"/>
              <w:rPr>
                <w:rFonts w:ascii="Times New Roman" w:hAnsi="Times New Roman" w:cs="Times New Roman"/>
                <w:bCs/>
                <w:i/>
                <w:color w:val="000000"/>
                <w:sz w:val="24"/>
                <w:szCs w:val="24"/>
              </w:rPr>
            </w:pPr>
            <w:r w:rsidRPr="00372977">
              <w:rPr>
                <w:rFonts w:ascii="Times New Roman" w:hAnsi="Times New Roman" w:cs="Times New Roman"/>
                <w:bCs/>
                <w:i/>
                <w:color w:val="000000"/>
                <w:sz w:val="24"/>
                <w:szCs w:val="24"/>
              </w:rPr>
              <w:t>Número de empleadores encuestados por municipio</w:t>
            </w:r>
          </w:p>
        </w:tc>
      </w:tr>
      <w:tr w:rsidR="00372977" w:rsidRPr="00372977" w14:paraId="66A0FAD5" w14:textId="77777777" w:rsidTr="0021658F">
        <w:trPr>
          <w:cantSplit/>
        </w:trPr>
        <w:tc>
          <w:tcPr>
            <w:tcW w:w="3305" w:type="dxa"/>
            <w:gridSpan w:val="2"/>
            <w:tcBorders>
              <w:top w:val="single" w:sz="4" w:space="0" w:color="auto"/>
              <w:bottom w:val="nil"/>
            </w:tcBorders>
            <w:shd w:val="clear" w:color="auto" w:fill="FFFFFF"/>
          </w:tcPr>
          <w:p w14:paraId="2B91F6BF" w14:textId="77777777" w:rsidR="00372977" w:rsidRPr="00372977" w:rsidRDefault="00372977" w:rsidP="0021658F">
            <w:pPr>
              <w:autoSpaceDE w:val="0"/>
              <w:autoSpaceDN w:val="0"/>
              <w:adjustRightInd w:val="0"/>
              <w:spacing w:after="0" w:line="240" w:lineRule="auto"/>
              <w:rPr>
                <w:rFonts w:ascii="Times New Roman" w:hAnsi="Times New Roman" w:cs="Times New Roman"/>
                <w:sz w:val="20"/>
                <w:szCs w:val="20"/>
              </w:rPr>
            </w:pPr>
          </w:p>
        </w:tc>
        <w:tc>
          <w:tcPr>
            <w:tcW w:w="1208" w:type="dxa"/>
            <w:tcBorders>
              <w:top w:val="single" w:sz="4" w:space="0" w:color="auto"/>
              <w:bottom w:val="nil"/>
            </w:tcBorders>
            <w:shd w:val="clear" w:color="auto" w:fill="FFFFFF"/>
          </w:tcPr>
          <w:p w14:paraId="19B3D641" w14:textId="77777777" w:rsidR="00372977" w:rsidRPr="00372977"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72977">
              <w:rPr>
                <w:rFonts w:ascii="Times New Roman" w:hAnsi="Times New Roman" w:cs="Times New Roman"/>
                <w:color w:val="000000"/>
                <w:sz w:val="20"/>
                <w:szCs w:val="20"/>
              </w:rPr>
              <w:t>Frecuencia</w:t>
            </w:r>
          </w:p>
        </w:tc>
        <w:tc>
          <w:tcPr>
            <w:tcW w:w="1177" w:type="dxa"/>
            <w:tcBorders>
              <w:top w:val="single" w:sz="4" w:space="0" w:color="auto"/>
              <w:bottom w:val="nil"/>
            </w:tcBorders>
            <w:shd w:val="clear" w:color="auto" w:fill="FFFFFF"/>
          </w:tcPr>
          <w:p w14:paraId="232F3F6D" w14:textId="77777777" w:rsidR="00372977" w:rsidRPr="00372977"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72977">
              <w:rPr>
                <w:rFonts w:ascii="Times New Roman" w:hAnsi="Times New Roman" w:cs="Times New Roman"/>
                <w:color w:val="000000"/>
                <w:sz w:val="20"/>
                <w:szCs w:val="20"/>
              </w:rPr>
              <w:t>Porcentaje</w:t>
            </w:r>
          </w:p>
        </w:tc>
      </w:tr>
      <w:tr w:rsidR="00372977" w:rsidRPr="00372977" w14:paraId="0C4FF32B" w14:textId="77777777" w:rsidTr="0021658F">
        <w:trPr>
          <w:cantSplit/>
        </w:trPr>
        <w:tc>
          <w:tcPr>
            <w:tcW w:w="735" w:type="dxa"/>
            <w:vMerge w:val="restart"/>
            <w:tcBorders>
              <w:bottom w:val="nil"/>
            </w:tcBorders>
            <w:shd w:val="clear" w:color="auto" w:fill="FFFFFF"/>
            <w:vAlign w:val="center"/>
          </w:tcPr>
          <w:p w14:paraId="48C3AD19" w14:textId="77777777" w:rsidR="00372977" w:rsidRPr="00372977" w:rsidRDefault="00372977" w:rsidP="0021658F">
            <w:pPr>
              <w:autoSpaceDE w:val="0"/>
              <w:autoSpaceDN w:val="0"/>
              <w:adjustRightInd w:val="0"/>
              <w:spacing w:after="0" w:line="240" w:lineRule="auto"/>
              <w:rPr>
                <w:rFonts w:ascii="Arial" w:hAnsi="Arial" w:cs="Arial"/>
                <w:color w:val="000000"/>
                <w:sz w:val="20"/>
                <w:szCs w:val="20"/>
              </w:rPr>
            </w:pPr>
          </w:p>
        </w:tc>
        <w:tc>
          <w:tcPr>
            <w:tcW w:w="2570" w:type="dxa"/>
            <w:tcBorders>
              <w:bottom w:val="nil"/>
            </w:tcBorders>
            <w:shd w:val="clear" w:color="auto" w:fill="FFFFFF"/>
            <w:vAlign w:val="center"/>
          </w:tcPr>
          <w:p w14:paraId="15D46B41" w14:textId="77777777" w:rsidR="00372977" w:rsidRPr="00372977" w:rsidRDefault="00372977" w:rsidP="0021658F">
            <w:pPr>
              <w:autoSpaceDE w:val="0"/>
              <w:autoSpaceDN w:val="0"/>
              <w:adjustRightInd w:val="0"/>
              <w:spacing w:after="0" w:line="320" w:lineRule="atLeast"/>
              <w:ind w:left="60" w:right="60"/>
              <w:rPr>
                <w:rFonts w:ascii="Times New Roman" w:hAnsi="Times New Roman" w:cs="Times New Roman"/>
                <w:color w:val="000000"/>
                <w:sz w:val="20"/>
                <w:szCs w:val="20"/>
              </w:rPr>
            </w:pPr>
            <w:r w:rsidRPr="00372977">
              <w:rPr>
                <w:rFonts w:ascii="Times New Roman" w:hAnsi="Times New Roman" w:cs="Times New Roman"/>
                <w:color w:val="000000"/>
                <w:sz w:val="20"/>
                <w:szCs w:val="20"/>
              </w:rPr>
              <w:t>Santiago</w:t>
            </w:r>
            <w:r w:rsidRPr="00372977">
              <w:rPr>
                <w:rFonts w:ascii="Times New Roman" w:hAnsi="Times New Roman" w:cs="Times New Roman"/>
                <w:color w:val="000000"/>
                <w:sz w:val="20"/>
                <w:szCs w:val="20"/>
                <w:u w:val="single"/>
              </w:rPr>
              <w:t xml:space="preserve"> </w:t>
            </w:r>
            <w:r w:rsidRPr="00372977">
              <w:rPr>
                <w:rFonts w:ascii="Times New Roman" w:hAnsi="Times New Roman" w:cs="Times New Roman"/>
                <w:color w:val="000000"/>
                <w:sz w:val="20"/>
                <w:szCs w:val="20"/>
              </w:rPr>
              <w:t xml:space="preserve">Papasquiaro </w:t>
            </w:r>
          </w:p>
        </w:tc>
        <w:tc>
          <w:tcPr>
            <w:tcW w:w="1208" w:type="dxa"/>
            <w:tcBorders>
              <w:bottom w:val="nil"/>
            </w:tcBorders>
            <w:shd w:val="clear" w:color="auto" w:fill="FFFFFF"/>
          </w:tcPr>
          <w:p w14:paraId="112367EB" w14:textId="77777777" w:rsidR="00372977" w:rsidRPr="00372977" w:rsidRDefault="00372977" w:rsidP="0021658F">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977">
              <w:rPr>
                <w:rFonts w:ascii="Times New Roman" w:hAnsi="Times New Roman" w:cs="Times New Roman"/>
                <w:color w:val="000000"/>
                <w:sz w:val="20"/>
                <w:szCs w:val="20"/>
              </w:rPr>
              <w:t>12</w:t>
            </w:r>
          </w:p>
        </w:tc>
        <w:tc>
          <w:tcPr>
            <w:tcW w:w="1177" w:type="dxa"/>
            <w:tcBorders>
              <w:bottom w:val="nil"/>
            </w:tcBorders>
            <w:shd w:val="clear" w:color="auto" w:fill="FFFFFF"/>
          </w:tcPr>
          <w:p w14:paraId="16566AE8" w14:textId="77777777" w:rsidR="00372977" w:rsidRPr="00372977" w:rsidRDefault="00372977" w:rsidP="0021658F">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977">
              <w:rPr>
                <w:rFonts w:ascii="Times New Roman" w:hAnsi="Times New Roman" w:cs="Times New Roman"/>
                <w:color w:val="000000"/>
                <w:sz w:val="20"/>
                <w:szCs w:val="20"/>
              </w:rPr>
              <w:t>38.7</w:t>
            </w:r>
          </w:p>
        </w:tc>
      </w:tr>
      <w:tr w:rsidR="00372977" w:rsidRPr="00372977" w14:paraId="0DCC0FBC" w14:textId="77777777" w:rsidTr="0021658F">
        <w:trPr>
          <w:cantSplit/>
        </w:trPr>
        <w:tc>
          <w:tcPr>
            <w:tcW w:w="735" w:type="dxa"/>
            <w:vMerge/>
            <w:tcBorders>
              <w:bottom w:val="nil"/>
            </w:tcBorders>
            <w:shd w:val="clear" w:color="auto" w:fill="FFFFFF"/>
            <w:vAlign w:val="center"/>
          </w:tcPr>
          <w:p w14:paraId="72306487" w14:textId="77777777" w:rsidR="00372977" w:rsidRPr="00372977" w:rsidRDefault="00372977" w:rsidP="0021658F">
            <w:pPr>
              <w:autoSpaceDE w:val="0"/>
              <w:autoSpaceDN w:val="0"/>
              <w:adjustRightInd w:val="0"/>
              <w:spacing w:after="0" w:line="240" w:lineRule="auto"/>
              <w:rPr>
                <w:rFonts w:ascii="Arial" w:hAnsi="Arial" w:cs="Arial"/>
                <w:color w:val="000000"/>
                <w:sz w:val="20"/>
                <w:szCs w:val="20"/>
              </w:rPr>
            </w:pPr>
          </w:p>
        </w:tc>
        <w:tc>
          <w:tcPr>
            <w:tcW w:w="2570" w:type="dxa"/>
            <w:tcBorders>
              <w:bottom w:val="nil"/>
            </w:tcBorders>
            <w:shd w:val="clear" w:color="auto" w:fill="FFFFFF"/>
            <w:vAlign w:val="center"/>
          </w:tcPr>
          <w:p w14:paraId="458D79D1" w14:textId="77777777" w:rsidR="00372977" w:rsidRPr="00372977" w:rsidRDefault="00372977" w:rsidP="0021658F">
            <w:pPr>
              <w:autoSpaceDE w:val="0"/>
              <w:autoSpaceDN w:val="0"/>
              <w:adjustRightInd w:val="0"/>
              <w:spacing w:after="0" w:line="320" w:lineRule="atLeast"/>
              <w:ind w:left="60" w:right="60"/>
              <w:rPr>
                <w:rFonts w:ascii="Times New Roman" w:hAnsi="Times New Roman" w:cs="Times New Roman"/>
                <w:color w:val="000000"/>
                <w:sz w:val="20"/>
                <w:szCs w:val="20"/>
              </w:rPr>
            </w:pPr>
            <w:r w:rsidRPr="00372977">
              <w:rPr>
                <w:rFonts w:ascii="Times New Roman" w:hAnsi="Times New Roman" w:cs="Times New Roman"/>
                <w:color w:val="000000"/>
                <w:sz w:val="20"/>
                <w:szCs w:val="20"/>
              </w:rPr>
              <w:t>Tepehuanes</w:t>
            </w:r>
          </w:p>
        </w:tc>
        <w:tc>
          <w:tcPr>
            <w:tcW w:w="1208" w:type="dxa"/>
            <w:tcBorders>
              <w:bottom w:val="nil"/>
            </w:tcBorders>
            <w:shd w:val="clear" w:color="auto" w:fill="FFFFFF"/>
          </w:tcPr>
          <w:p w14:paraId="5F871A9E" w14:textId="77777777" w:rsidR="00372977" w:rsidRPr="00372977" w:rsidRDefault="00372977" w:rsidP="0021658F">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977">
              <w:rPr>
                <w:rFonts w:ascii="Times New Roman" w:hAnsi="Times New Roman" w:cs="Times New Roman"/>
                <w:color w:val="000000"/>
                <w:sz w:val="20"/>
                <w:szCs w:val="20"/>
              </w:rPr>
              <w:t>2</w:t>
            </w:r>
          </w:p>
        </w:tc>
        <w:tc>
          <w:tcPr>
            <w:tcW w:w="1177" w:type="dxa"/>
            <w:tcBorders>
              <w:bottom w:val="nil"/>
            </w:tcBorders>
            <w:shd w:val="clear" w:color="auto" w:fill="FFFFFF"/>
          </w:tcPr>
          <w:p w14:paraId="5D151B7A" w14:textId="77777777" w:rsidR="00372977" w:rsidRPr="00372977" w:rsidRDefault="00372977" w:rsidP="0021658F">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977">
              <w:rPr>
                <w:rFonts w:ascii="Times New Roman" w:hAnsi="Times New Roman" w:cs="Times New Roman"/>
                <w:color w:val="000000"/>
                <w:sz w:val="20"/>
                <w:szCs w:val="20"/>
              </w:rPr>
              <w:t>6.5</w:t>
            </w:r>
          </w:p>
        </w:tc>
      </w:tr>
      <w:tr w:rsidR="00372977" w:rsidRPr="00372977" w14:paraId="1E1CF5CB" w14:textId="77777777" w:rsidTr="0021658F">
        <w:trPr>
          <w:cantSplit/>
        </w:trPr>
        <w:tc>
          <w:tcPr>
            <w:tcW w:w="735" w:type="dxa"/>
            <w:vMerge/>
            <w:tcBorders>
              <w:bottom w:val="nil"/>
            </w:tcBorders>
            <w:shd w:val="clear" w:color="auto" w:fill="FFFFFF"/>
            <w:vAlign w:val="center"/>
          </w:tcPr>
          <w:p w14:paraId="68844ECD" w14:textId="77777777" w:rsidR="00372977" w:rsidRPr="00372977" w:rsidRDefault="00372977" w:rsidP="0021658F">
            <w:pPr>
              <w:autoSpaceDE w:val="0"/>
              <w:autoSpaceDN w:val="0"/>
              <w:adjustRightInd w:val="0"/>
              <w:spacing w:after="0" w:line="240" w:lineRule="auto"/>
              <w:rPr>
                <w:rFonts w:ascii="Arial" w:hAnsi="Arial" w:cs="Arial"/>
                <w:color w:val="000000"/>
                <w:sz w:val="20"/>
                <w:szCs w:val="20"/>
              </w:rPr>
            </w:pPr>
          </w:p>
        </w:tc>
        <w:tc>
          <w:tcPr>
            <w:tcW w:w="2570" w:type="dxa"/>
            <w:tcBorders>
              <w:bottom w:val="nil"/>
            </w:tcBorders>
            <w:shd w:val="clear" w:color="auto" w:fill="FFFFFF"/>
            <w:vAlign w:val="center"/>
          </w:tcPr>
          <w:p w14:paraId="36CFEE75" w14:textId="77777777" w:rsidR="00372977" w:rsidRPr="00372977" w:rsidRDefault="00372977" w:rsidP="0021658F">
            <w:pPr>
              <w:autoSpaceDE w:val="0"/>
              <w:autoSpaceDN w:val="0"/>
              <w:adjustRightInd w:val="0"/>
              <w:spacing w:after="0" w:line="320" w:lineRule="atLeast"/>
              <w:ind w:left="60" w:right="60"/>
              <w:rPr>
                <w:rFonts w:ascii="Times New Roman" w:hAnsi="Times New Roman" w:cs="Times New Roman"/>
                <w:color w:val="000000"/>
                <w:sz w:val="20"/>
                <w:szCs w:val="20"/>
              </w:rPr>
            </w:pPr>
            <w:r w:rsidRPr="00372977">
              <w:rPr>
                <w:rFonts w:ascii="Times New Roman" w:hAnsi="Times New Roman" w:cs="Times New Roman"/>
                <w:color w:val="000000"/>
                <w:sz w:val="20"/>
                <w:szCs w:val="20"/>
              </w:rPr>
              <w:t>Santa María del Oro</w:t>
            </w:r>
          </w:p>
        </w:tc>
        <w:tc>
          <w:tcPr>
            <w:tcW w:w="1208" w:type="dxa"/>
            <w:tcBorders>
              <w:bottom w:val="nil"/>
            </w:tcBorders>
            <w:shd w:val="clear" w:color="auto" w:fill="FFFFFF"/>
          </w:tcPr>
          <w:p w14:paraId="61FBCC21" w14:textId="77777777" w:rsidR="00372977" w:rsidRPr="00372977" w:rsidRDefault="00372977" w:rsidP="0021658F">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977">
              <w:rPr>
                <w:rFonts w:ascii="Times New Roman" w:hAnsi="Times New Roman" w:cs="Times New Roman"/>
                <w:color w:val="000000"/>
                <w:sz w:val="20"/>
                <w:szCs w:val="20"/>
              </w:rPr>
              <w:t>17</w:t>
            </w:r>
          </w:p>
        </w:tc>
        <w:tc>
          <w:tcPr>
            <w:tcW w:w="1177" w:type="dxa"/>
            <w:tcBorders>
              <w:bottom w:val="nil"/>
            </w:tcBorders>
            <w:shd w:val="clear" w:color="auto" w:fill="FFFFFF"/>
          </w:tcPr>
          <w:p w14:paraId="13D2EEB9" w14:textId="77777777" w:rsidR="00372977" w:rsidRPr="00372977" w:rsidRDefault="00372977" w:rsidP="0021658F">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977">
              <w:rPr>
                <w:rFonts w:ascii="Times New Roman" w:hAnsi="Times New Roman" w:cs="Times New Roman"/>
                <w:color w:val="000000"/>
                <w:sz w:val="20"/>
                <w:szCs w:val="20"/>
              </w:rPr>
              <w:t>54.8</w:t>
            </w:r>
          </w:p>
        </w:tc>
      </w:tr>
      <w:tr w:rsidR="00372977" w:rsidRPr="00372977" w14:paraId="1460FA29" w14:textId="77777777" w:rsidTr="0021658F">
        <w:trPr>
          <w:cantSplit/>
        </w:trPr>
        <w:tc>
          <w:tcPr>
            <w:tcW w:w="735" w:type="dxa"/>
            <w:vMerge/>
            <w:tcBorders>
              <w:bottom w:val="single" w:sz="4" w:space="0" w:color="auto"/>
            </w:tcBorders>
            <w:shd w:val="clear" w:color="auto" w:fill="FFFFFF"/>
            <w:vAlign w:val="center"/>
          </w:tcPr>
          <w:p w14:paraId="580E2444" w14:textId="77777777" w:rsidR="00372977" w:rsidRPr="00372977" w:rsidRDefault="00372977" w:rsidP="0021658F">
            <w:pPr>
              <w:autoSpaceDE w:val="0"/>
              <w:autoSpaceDN w:val="0"/>
              <w:adjustRightInd w:val="0"/>
              <w:spacing w:after="0" w:line="240" w:lineRule="auto"/>
              <w:rPr>
                <w:rFonts w:ascii="Arial" w:hAnsi="Arial" w:cs="Arial"/>
                <w:color w:val="000000"/>
                <w:sz w:val="20"/>
                <w:szCs w:val="20"/>
              </w:rPr>
            </w:pPr>
          </w:p>
        </w:tc>
        <w:tc>
          <w:tcPr>
            <w:tcW w:w="2570" w:type="dxa"/>
            <w:tcBorders>
              <w:bottom w:val="single" w:sz="4" w:space="0" w:color="auto"/>
            </w:tcBorders>
            <w:shd w:val="clear" w:color="auto" w:fill="FFFFFF"/>
            <w:vAlign w:val="center"/>
          </w:tcPr>
          <w:p w14:paraId="31923565" w14:textId="77777777" w:rsidR="00372977" w:rsidRPr="00372977" w:rsidRDefault="00372977" w:rsidP="0021658F">
            <w:pPr>
              <w:autoSpaceDE w:val="0"/>
              <w:autoSpaceDN w:val="0"/>
              <w:adjustRightInd w:val="0"/>
              <w:spacing w:after="0" w:line="320" w:lineRule="atLeast"/>
              <w:ind w:left="60" w:right="60"/>
              <w:rPr>
                <w:rFonts w:ascii="Times New Roman" w:hAnsi="Times New Roman" w:cs="Times New Roman"/>
                <w:color w:val="000000"/>
                <w:sz w:val="20"/>
                <w:szCs w:val="20"/>
              </w:rPr>
            </w:pPr>
            <w:r w:rsidRPr="00372977">
              <w:rPr>
                <w:rFonts w:ascii="Times New Roman" w:hAnsi="Times New Roman" w:cs="Times New Roman"/>
                <w:color w:val="000000"/>
                <w:sz w:val="20"/>
                <w:szCs w:val="20"/>
              </w:rPr>
              <w:t>Total</w:t>
            </w:r>
          </w:p>
        </w:tc>
        <w:tc>
          <w:tcPr>
            <w:tcW w:w="1208" w:type="dxa"/>
            <w:tcBorders>
              <w:bottom w:val="single" w:sz="4" w:space="0" w:color="auto"/>
            </w:tcBorders>
            <w:shd w:val="clear" w:color="auto" w:fill="FFFFFF"/>
          </w:tcPr>
          <w:p w14:paraId="511744B9" w14:textId="77777777" w:rsidR="00372977" w:rsidRPr="00372977" w:rsidRDefault="00372977" w:rsidP="0021658F">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977">
              <w:rPr>
                <w:rFonts w:ascii="Times New Roman" w:hAnsi="Times New Roman" w:cs="Times New Roman"/>
                <w:color w:val="000000"/>
                <w:sz w:val="20"/>
                <w:szCs w:val="20"/>
              </w:rPr>
              <w:t>572</w:t>
            </w:r>
          </w:p>
        </w:tc>
        <w:tc>
          <w:tcPr>
            <w:tcW w:w="1177" w:type="dxa"/>
            <w:tcBorders>
              <w:bottom w:val="single" w:sz="4" w:space="0" w:color="auto"/>
            </w:tcBorders>
            <w:shd w:val="clear" w:color="auto" w:fill="FFFFFF"/>
          </w:tcPr>
          <w:p w14:paraId="04B44FAB" w14:textId="77777777" w:rsidR="00372977" w:rsidRPr="00372977" w:rsidRDefault="00372977" w:rsidP="0021658F">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72977">
              <w:rPr>
                <w:rFonts w:ascii="Times New Roman" w:hAnsi="Times New Roman" w:cs="Times New Roman"/>
                <w:color w:val="000000"/>
                <w:sz w:val="20"/>
                <w:szCs w:val="20"/>
              </w:rPr>
              <w:t>100.0</w:t>
            </w:r>
          </w:p>
        </w:tc>
      </w:tr>
    </w:tbl>
    <w:p w14:paraId="7BF8A03D" w14:textId="77777777" w:rsidR="00372977" w:rsidRPr="00372977" w:rsidRDefault="00372977" w:rsidP="00372977">
      <w:pPr>
        <w:shd w:val="clear" w:color="auto" w:fill="FFFFFF"/>
        <w:spacing w:after="0" w:line="240" w:lineRule="auto"/>
        <w:rPr>
          <w:rFonts w:ascii="Times New Roman" w:eastAsia="Times New Roman" w:hAnsi="Times New Roman" w:cs="Times New Roman"/>
          <w:color w:val="222222"/>
          <w:sz w:val="20"/>
          <w:szCs w:val="20"/>
          <w:lang w:eastAsia="es-MX"/>
        </w:rPr>
      </w:pPr>
      <w:r w:rsidRPr="00372977">
        <w:rPr>
          <w:rFonts w:ascii="Times New Roman" w:eastAsia="Times New Roman" w:hAnsi="Times New Roman" w:cs="Times New Roman"/>
          <w:color w:val="222222"/>
          <w:sz w:val="20"/>
          <w:szCs w:val="20"/>
          <w:lang w:eastAsia="es-MX"/>
        </w:rPr>
        <w:t>Fuente: Encuesta EE OIL-UJED</w:t>
      </w:r>
    </w:p>
    <w:p w14:paraId="01D8E2EF" w14:textId="77777777" w:rsidR="00372977" w:rsidRPr="00372977" w:rsidRDefault="00372977" w:rsidP="00372977">
      <w:pPr>
        <w:shd w:val="clear" w:color="auto" w:fill="FFFFFF"/>
        <w:spacing w:after="0" w:line="240" w:lineRule="auto"/>
        <w:rPr>
          <w:rFonts w:ascii="Arial" w:eastAsia="Times New Roman" w:hAnsi="Arial" w:cs="Arial"/>
          <w:color w:val="222222"/>
          <w:sz w:val="24"/>
          <w:szCs w:val="24"/>
          <w:lang w:eastAsia="es-MX"/>
        </w:rPr>
      </w:pPr>
    </w:p>
    <w:p w14:paraId="5EB60A2E" w14:textId="77777777" w:rsidR="00372977" w:rsidRDefault="00372977" w:rsidP="00372977">
      <w:pPr>
        <w:shd w:val="clear" w:color="auto" w:fill="FFFFFF"/>
        <w:spacing w:after="0" w:line="240" w:lineRule="auto"/>
        <w:rPr>
          <w:rFonts w:ascii="Arial" w:eastAsia="Times New Roman" w:hAnsi="Arial" w:cs="Arial"/>
          <w:color w:val="222222"/>
          <w:sz w:val="19"/>
          <w:szCs w:val="19"/>
          <w:lang w:eastAsia="es-MX"/>
        </w:rPr>
      </w:pPr>
    </w:p>
    <w:tbl>
      <w:tblPr>
        <w:tblW w:w="5690" w:type="dxa"/>
        <w:tblBorders>
          <w:bottom w:val="single" w:sz="4" w:space="0" w:color="auto"/>
        </w:tblBorders>
        <w:tblLayout w:type="fixed"/>
        <w:tblCellMar>
          <w:left w:w="0" w:type="dxa"/>
          <w:right w:w="0" w:type="dxa"/>
        </w:tblCellMar>
        <w:tblLook w:val="0000" w:firstRow="0" w:lastRow="0" w:firstColumn="0" w:lastColumn="0" w:noHBand="0" w:noVBand="0"/>
      </w:tblPr>
      <w:tblGrid>
        <w:gridCol w:w="735"/>
        <w:gridCol w:w="2570"/>
        <w:gridCol w:w="1208"/>
        <w:gridCol w:w="1177"/>
      </w:tblGrid>
      <w:tr w:rsidR="00372977" w:rsidRPr="005615A8" w14:paraId="4F4C6688" w14:textId="77777777" w:rsidTr="0021658F">
        <w:trPr>
          <w:cantSplit/>
        </w:trPr>
        <w:tc>
          <w:tcPr>
            <w:tcW w:w="5690" w:type="dxa"/>
            <w:gridSpan w:val="4"/>
            <w:tcBorders>
              <w:bottom w:val="single" w:sz="4" w:space="0" w:color="auto"/>
            </w:tcBorders>
            <w:shd w:val="clear" w:color="auto" w:fill="FFFFFF"/>
          </w:tcPr>
          <w:p w14:paraId="08B17AA1" w14:textId="77777777" w:rsidR="00372977" w:rsidRPr="00FD2383" w:rsidRDefault="00372977" w:rsidP="0021658F">
            <w:pPr>
              <w:autoSpaceDE w:val="0"/>
              <w:autoSpaceDN w:val="0"/>
              <w:adjustRightInd w:val="0"/>
              <w:spacing w:after="0" w:line="320" w:lineRule="atLeast"/>
              <w:ind w:left="60" w:right="60"/>
              <w:rPr>
                <w:rFonts w:ascii="Times New Roman" w:hAnsi="Times New Roman" w:cs="Times New Roman"/>
                <w:bCs/>
                <w:color w:val="000000"/>
                <w:sz w:val="24"/>
                <w:szCs w:val="24"/>
              </w:rPr>
            </w:pPr>
            <w:r>
              <w:rPr>
                <w:rFonts w:ascii="Times New Roman" w:hAnsi="Times New Roman" w:cs="Times New Roman"/>
                <w:bCs/>
                <w:color w:val="000000"/>
                <w:sz w:val="24"/>
                <w:szCs w:val="24"/>
              </w:rPr>
              <w:t>Tabla 4</w:t>
            </w:r>
            <w:r w:rsidRPr="00FD2383">
              <w:rPr>
                <w:rFonts w:ascii="Times New Roman" w:hAnsi="Times New Roman" w:cs="Times New Roman"/>
                <w:bCs/>
                <w:color w:val="000000"/>
                <w:sz w:val="24"/>
                <w:szCs w:val="24"/>
              </w:rPr>
              <w:t xml:space="preserve">. </w:t>
            </w:r>
          </w:p>
          <w:p w14:paraId="1BBA25E4" w14:textId="77777777" w:rsidR="00372977" w:rsidRPr="008B7BB5" w:rsidRDefault="00372977" w:rsidP="0021658F">
            <w:pPr>
              <w:autoSpaceDE w:val="0"/>
              <w:autoSpaceDN w:val="0"/>
              <w:adjustRightInd w:val="0"/>
              <w:spacing w:after="0" w:line="320" w:lineRule="atLeast"/>
              <w:ind w:left="60" w:right="60"/>
              <w:rPr>
                <w:rFonts w:ascii="Times New Roman" w:hAnsi="Times New Roman" w:cs="Times New Roman"/>
                <w:bCs/>
                <w:i/>
                <w:color w:val="000000"/>
                <w:sz w:val="24"/>
                <w:szCs w:val="24"/>
              </w:rPr>
            </w:pPr>
            <w:r>
              <w:rPr>
                <w:rFonts w:ascii="Times New Roman" w:hAnsi="Times New Roman" w:cs="Times New Roman"/>
                <w:bCs/>
                <w:i/>
                <w:color w:val="000000"/>
                <w:sz w:val="24"/>
                <w:szCs w:val="24"/>
              </w:rPr>
              <w:t>Giro de las empresas reportadas por los empleadores</w:t>
            </w:r>
          </w:p>
        </w:tc>
      </w:tr>
      <w:tr w:rsidR="00372977" w:rsidRPr="005615A8" w14:paraId="790E3BC3" w14:textId="77777777" w:rsidTr="0021658F">
        <w:trPr>
          <w:cantSplit/>
        </w:trPr>
        <w:tc>
          <w:tcPr>
            <w:tcW w:w="3305" w:type="dxa"/>
            <w:gridSpan w:val="2"/>
            <w:tcBorders>
              <w:top w:val="single" w:sz="4" w:space="0" w:color="auto"/>
              <w:bottom w:val="nil"/>
            </w:tcBorders>
            <w:shd w:val="clear" w:color="auto" w:fill="FFFFFF"/>
          </w:tcPr>
          <w:p w14:paraId="41064CEB" w14:textId="77777777" w:rsidR="00372977" w:rsidRPr="005615A8" w:rsidRDefault="00372977" w:rsidP="0021658F">
            <w:pPr>
              <w:autoSpaceDE w:val="0"/>
              <w:autoSpaceDN w:val="0"/>
              <w:adjustRightInd w:val="0"/>
              <w:spacing w:after="0" w:line="240" w:lineRule="auto"/>
              <w:rPr>
                <w:rFonts w:ascii="Times New Roman" w:hAnsi="Times New Roman" w:cs="Times New Roman"/>
                <w:sz w:val="24"/>
                <w:szCs w:val="24"/>
              </w:rPr>
            </w:pPr>
          </w:p>
        </w:tc>
        <w:tc>
          <w:tcPr>
            <w:tcW w:w="1208" w:type="dxa"/>
            <w:tcBorders>
              <w:top w:val="single" w:sz="4" w:space="0" w:color="auto"/>
              <w:bottom w:val="nil"/>
            </w:tcBorders>
            <w:shd w:val="clear" w:color="auto" w:fill="FFFFFF"/>
          </w:tcPr>
          <w:p w14:paraId="29C1A139" w14:textId="77777777" w:rsidR="00372977" w:rsidRPr="008B7BB5"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B7BB5">
              <w:rPr>
                <w:rFonts w:ascii="Times New Roman" w:hAnsi="Times New Roman" w:cs="Times New Roman"/>
                <w:color w:val="000000"/>
                <w:sz w:val="24"/>
                <w:szCs w:val="24"/>
              </w:rPr>
              <w:t>Frecuencia</w:t>
            </w:r>
          </w:p>
        </w:tc>
        <w:tc>
          <w:tcPr>
            <w:tcW w:w="1177" w:type="dxa"/>
            <w:tcBorders>
              <w:top w:val="single" w:sz="4" w:space="0" w:color="auto"/>
              <w:bottom w:val="nil"/>
            </w:tcBorders>
            <w:shd w:val="clear" w:color="auto" w:fill="FFFFFF"/>
          </w:tcPr>
          <w:p w14:paraId="0452D6FC" w14:textId="77777777" w:rsidR="00372977" w:rsidRPr="008B7BB5"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B7BB5">
              <w:rPr>
                <w:rFonts w:ascii="Times New Roman" w:hAnsi="Times New Roman" w:cs="Times New Roman"/>
                <w:color w:val="000000"/>
                <w:sz w:val="24"/>
                <w:szCs w:val="24"/>
              </w:rPr>
              <w:t>Porcentaje</w:t>
            </w:r>
          </w:p>
        </w:tc>
      </w:tr>
      <w:tr w:rsidR="00372977" w:rsidRPr="005615A8" w14:paraId="627AF936" w14:textId="77777777" w:rsidTr="0021658F">
        <w:trPr>
          <w:cantSplit/>
        </w:trPr>
        <w:tc>
          <w:tcPr>
            <w:tcW w:w="735" w:type="dxa"/>
            <w:vMerge w:val="restart"/>
            <w:tcBorders>
              <w:bottom w:val="nil"/>
            </w:tcBorders>
            <w:shd w:val="clear" w:color="auto" w:fill="FFFFFF"/>
            <w:vAlign w:val="center"/>
          </w:tcPr>
          <w:p w14:paraId="3217AD37" w14:textId="77777777" w:rsidR="00372977" w:rsidRPr="005615A8" w:rsidRDefault="00372977" w:rsidP="0021658F">
            <w:pPr>
              <w:autoSpaceDE w:val="0"/>
              <w:autoSpaceDN w:val="0"/>
              <w:adjustRightInd w:val="0"/>
              <w:spacing w:after="0" w:line="240" w:lineRule="auto"/>
              <w:rPr>
                <w:rFonts w:ascii="Times New Roman" w:hAnsi="Times New Roman" w:cs="Times New Roman"/>
                <w:sz w:val="24"/>
                <w:szCs w:val="24"/>
              </w:rPr>
            </w:pPr>
          </w:p>
        </w:tc>
        <w:tc>
          <w:tcPr>
            <w:tcW w:w="2570" w:type="dxa"/>
            <w:tcBorders>
              <w:bottom w:val="nil"/>
            </w:tcBorders>
            <w:shd w:val="clear" w:color="auto" w:fill="FFFFFF"/>
            <w:vAlign w:val="center"/>
          </w:tcPr>
          <w:p w14:paraId="515CD6BE" w14:textId="77777777" w:rsidR="00372977" w:rsidRPr="008B7BB5" w:rsidRDefault="00372977" w:rsidP="0021658F">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Agrícola </w:t>
            </w:r>
          </w:p>
        </w:tc>
        <w:tc>
          <w:tcPr>
            <w:tcW w:w="1208" w:type="dxa"/>
            <w:tcBorders>
              <w:bottom w:val="nil"/>
            </w:tcBorders>
            <w:shd w:val="clear" w:color="auto" w:fill="FFFFFF"/>
            <w:vAlign w:val="center"/>
          </w:tcPr>
          <w:p w14:paraId="71A726F7"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1</w:t>
            </w:r>
          </w:p>
        </w:tc>
        <w:tc>
          <w:tcPr>
            <w:tcW w:w="1177" w:type="dxa"/>
            <w:tcBorders>
              <w:bottom w:val="nil"/>
            </w:tcBorders>
            <w:shd w:val="clear" w:color="auto" w:fill="FFFFFF"/>
            <w:vAlign w:val="center"/>
          </w:tcPr>
          <w:p w14:paraId="348EB9CF"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3.2</w:t>
            </w:r>
          </w:p>
        </w:tc>
      </w:tr>
      <w:tr w:rsidR="00372977" w:rsidRPr="005615A8" w14:paraId="55D5097F" w14:textId="77777777" w:rsidTr="0021658F">
        <w:trPr>
          <w:cantSplit/>
        </w:trPr>
        <w:tc>
          <w:tcPr>
            <w:tcW w:w="735" w:type="dxa"/>
            <w:vMerge/>
            <w:tcBorders>
              <w:bottom w:val="nil"/>
            </w:tcBorders>
            <w:shd w:val="clear" w:color="auto" w:fill="FFFFFF"/>
            <w:vAlign w:val="center"/>
          </w:tcPr>
          <w:p w14:paraId="22B7839B" w14:textId="77777777" w:rsidR="00372977" w:rsidRPr="005615A8" w:rsidRDefault="00372977" w:rsidP="0021658F">
            <w:pPr>
              <w:autoSpaceDE w:val="0"/>
              <w:autoSpaceDN w:val="0"/>
              <w:adjustRightInd w:val="0"/>
              <w:spacing w:after="0" w:line="240" w:lineRule="auto"/>
              <w:rPr>
                <w:rFonts w:ascii="Arial" w:hAnsi="Arial" w:cs="Arial"/>
                <w:color w:val="000000"/>
                <w:sz w:val="18"/>
                <w:szCs w:val="18"/>
              </w:rPr>
            </w:pPr>
          </w:p>
        </w:tc>
        <w:tc>
          <w:tcPr>
            <w:tcW w:w="2570" w:type="dxa"/>
            <w:tcBorders>
              <w:bottom w:val="nil"/>
            </w:tcBorders>
            <w:shd w:val="clear" w:color="auto" w:fill="FFFFFF"/>
            <w:vAlign w:val="center"/>
          </w:tcPr>
          <w:p w14:paraId="754095DD" w14:textId="77777777" w:rsidR="00372977" w:rsidRPr="008B7BB5" w:rsidRDefault="00372977" w:rsidP="0021658F">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Comercio </w:t>
            </w:r>
          </w:p>
        </w:tc>
        <w:tc>
          <w:tcPr>
            <w:tcW w:w="1208" w:type="dxa"/>
            <w:tcBorders>
              <w:bottom w:val="nil"/>
            </w:tcBorders>
            <w:shd w:val="clear" w:color="auto" w:fill="FFFFFF"/>
            <w:vAlign w:val="center"/>
          </w:tcPr>
          <w:p w14:paraId="49C24734"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13</w:t>
            </w:r>
          </w:p>
        </w:tc>
        <w:tc>
          <w:tcPr>
            <w:tcW w:w="1177" w:type="dxa"/>
            <w:tcBorders>
              <w:bottom w:val="nil"/>
            </w:tcBorders>
            <w:shd w:val="clear" w:color="auto" w:fill="FFFFFF"/>
            <w:vAlign w:val="center"/>
          </w:tcPr>
          <w:p w14:paraId="3D3282E9"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41.9</w:t>
            </w:r>
          </w:p>
        </w:tc>
      </w:tr>
      <w:tr w:rsidR="00372977" w:rsidRPr="005615A8" w14:paraId="456F090C" w14:textId="77777777" w:rsidTr="0021658F">
        <w:trPr>
          <w:cantSplit/>
        </w:trPr>
        <w:tc>
          <w:tcPr>
            <w:tcW w:w="735" w:type="dxa"/>
            <w:vMerge/>
            <w:tcBorders>
              <w:bottom w:val="nil"/>
            </w:tcBorders>
            <w:shd w:val="clear" w:color="auto" w:fill="FFFFFF"/>
            <w:vAlign w:val="center"/>
          </w:tcPr>
          <w:p w14:paraId="68DA39B5" w14:textId="77777777" w:rsidR="00372977" w:rsidRPr="005615A8" w:rsidRDefault="00372977" w:rsidP="0021658F">
            <w:pPr>
              <w:autoSpaceDE w:val="0"/>
              <w:autoSpaceDN w:val="0"/>
              <w:adjustRightInd w:val="0"/>
              <w:spacing w:after="0" w:line="240" w:lineRule="auto"/>
              <w:rPr>
                <w:rFonts w:ascii="Arial" w:hAnsi="Arial" w:cs="Arial"/>
                <w:color w:val="000000"/>
                <w:sz w:val="18"/>
                <w:szCs w:val="18"/>
              </w:rPr>
            </w:pPr>
          </w:p>
        </w:tc>
        <w:tc>
          <w:tcPr>
            <w:tcW w:w="2570" w:type="dxa"/>
            <w:tcBorders>
              <w:bottom w:val="nil"/>
            </w:tcBorders>
            <w:shd w:val="clear" w:color="auto" w:fill="FFFFFF"/>
            <w:vAlign w:val="center"/>
          </w:tcPr>
          <w:p w14:paraId="16E4B62A" w14:textId="77777777" w:rsidR="00372977" w:rsidRPr="008B7BB5" w:rsidRDefault="00372977" w:rsidP="0021658F">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Educación </w:t>
            </w:r>
          </w:p>
        </w:tc>
        <w:tc>
          <w:tcPr>
            <w:tcW w:w="1208" w:type="dxa"/>
            <w:tcBorders>
              <w:bottom w:val="nil"/>
            </w:tcBorders>
            <w:shd w:val="clear" w:color="auto" w:fill="FFFFFF"/>
            <w:vAlign w:val="center"/>
          </w:tcPr>
          <w:p w14:paraId="5F2D21D4"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2</w:t>
            </w:r>
          </w:p>
        </w:tc>
        <w:tc>
          <w:tcPr>
            <w:tcW w:w="1177" w:type="dxa"/>
            <w:tcBorders>
              <w:bottom w:val="nil"/>
            </w:tcBorders>
            <w:shd w:val="clear" w:color="auto" w:fill="FFFFFF"/>
            <w:vAlign w:val="center"/>
          </w:tcPr>
          <w:p w14:paraId="6177A12C"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6.5</w:t>
            </w:r>
          </w:p>
        </w:tc>
      </w:tr>
      <w:tr w:rsidR="00372977" w:rsidRPr="005615A8" w14:paraId="7EAB7B98" w14:textId="77777777" w:rsidTr="0021658F">
        <w:trPr>
          <w:cantSplit/>
        </w:trPr>
        <w:tc>
          <w:tcPr>
            <w:tcW w:w="735" w:type="dxa"/>
            <w:vMerge/>
            <w:tcBorders>
              <w:bottom w:val="nil"/>
            </w:tcBorders>
            <w:shd w:val="clear" w:color="auto" w:fill="FFFFFF"/>
            <w:vAlign w:val="center"/>
          </w:tcPr>
          <w:p w14:paraId="4FBAF90F" w14:textId="77777777" w:rsidR="00372977" w:rsidRPr="005615A8" w:rsidRDefault="00372977" w:rsidP="0021658F">
            <w:pPr>
              <w:autoSpaceDE w:val="0"/>
              <w:autoSpaceDN w:val="0"/>
              <w:adjustRightInd w:val="0"/>
              <w:spacing w:after="0" w:line="240" w:lineRule="auto"/>
              <w:rPr>
                <w:rFonts w:ascii="Arial" w:hAnsi="Arial" w:cs="Arial"/>
                <w:color w:val="000000"/>
                <w:sz w:val="18"/>
                <w:szCs w:val="18"/>
              </w:rPr>
            </w:pPr>
          </w:p>
        </w:tc>
        <w:tc>
          <w:tcPr>
            <w:tcW w:w="2570" w:type="dxa"/>
            <w:tcBorders>
              <w:bottom w:val="nil"/>
            </w:tcBorders>
            <w:shd w:val="clear" w:color="auto" w:fill="FFFFFF"/>
            <w:vAlign w:val="center"/>
          </w:tcPr>
          <w:p w14:paraId="52F19D46" w14:textId="77777777" w:rsidR="00372977" w:rsidRPr="008B7BB5" w:rsidRDefault="00372977" w:rsidP="0021658F">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Gobierno </w:t>
            </w:r>
          </w:p>
        </w:tc>
        <w:tc>
          <w:tcPr>
            <w:tcW w:w="1208" w:type="dxa"/>
            <w:tcBorders>
              <w:bottom w:val="nil"/>
            </w:tcBorders>
            <w:shd w:val="clear" w:color="auto" w:fill="FFFFFF"/>
            <w:vAlign w:val="center"/>
          </w:tcPr>
          <w:p w14:paraId="1A2B64B1"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5</w:t>
            </w:r>
          </w:p>
        </w:tc>
        <w:tc>
          <w:tcPr>
            <w:tcW w:w="1177" w:type="dxa"/>
            <w:tcBorders>
              <w:bottom w:val="nil"/>
            </w:tcBorders>
            <w:shd w:val="clear" w:color="auto" w:fill="FFFFFF"/>
            <w:vAlign w:val="center"/>
          </w:tcPr>
          <w:p w14:paraId="0DC2A11D"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16.1</w:t>
            </w:r>
          </w:p>
        </w:tc>
      </w:tr>
      <w:tr w:rsidR="00372977" w:rsidRPr="005615A8" w14:paraId="619D88BB" w14:textId="77777777" w:rsidTr="0021658F">
        <w:trPr>
          <w:cantSplit/>
        </w:trPr>
        <w:tc>
          <w:tcPr>
            <w:tcW w:w="735" w:type="dxa"/>
            <w:vMerge/>
            <w:tcBorders>
              <w:bottom w:val="nil"/>
            </w:tcBorders>
            <w:shd w:val="clear" w:color="auto" w:fill="FFFFFF"/>
            <w:vAlign w:val="center"/>
          </w:tcPr>
          <w:p w14:paraId="13B180EA" w14:textId="77777777" w:rsidR="00372977" w:rsidRPr="005615A8" w:rsidRDefault="00372977" w:rsidP="0021658F">
            <w:pPr>
              <w:autoSpaceDE w:val="0"/>
              <w:autoSpaceDN w:val="0"/>
              <w:adjustRightInd w:val="0"/>
              <w:spacing w:after="0" w:line="240" w:lineRule="auto"/>
              <w:rPr>
                <w:rFonts w:ascii="Arial" w:hAnsi="Arial" w:cs="Arial"/>
                <w:color w:val="000000"/>
                <w:sz w:val="18"/>
                <w:szCs w:val="18"/>
              </w:rPr>
            </w:pPr>
          </w:p>
        </w:tc>
        <w:tc>
          <w:tcPr>
            <w:tcW w:w="2570" w:type="dxa"/>
            <w:tcBorders>
              <w:bottom w:val="nil"/>
            </w:tcBorders>
            <w:shd w:val="clear" w:color="auto" w:fill="FFFFFF"/>
            <w:vAlign w:val="center"/>
          </w:tcPr>
          <w:p w14:paraId="1BAB4CE1" w14:textId="77777777" w:rsidR="00372977" w:rsidRPr="008B7BB5" w:rsidRDefault="00372977" w:rsidP="0021658F">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Industria </w:t>
            </w:r>
          </w:p>
        </w:tc>
        <w:tc>
          <w:tcPr>
            <w:tcW w:w="1208" w:type="dxa"/>
            <w:tcBorders>
              <w:bottom w:val="nil"/>
            </w:tcBorders>
            <w:shd w:val="clear" w:color="auto" w:fill="FFFFFF"/>
            <w:vAlign w:val="center"/>
          </w:tcPr>
          <w:p w14:paraId="15B10C3D"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4</w:t>
            </w:r>
          </w:p>
        </w:tc>
        <w:tc>
          <w:tcPr>
            <w:tcW w:w="1177" w:type="dxa"/>
            <w:tcBorders>
              <w:bottom w:val="nil"/>
            </w:tcBorders>
            <w:shd w:val="clear" w:color="auto" w:fill="FFFFFF"/>
            <w:vAlign w:val="center"/>
          </w:tcPr>
          <w:p w14:paraId="442F31FD"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12.9</w:t>
            </w:r>
          </w:p>
        </w:tc>
      </w:tr>
      <w:tr w:rsidR="00372977" w:rsidRPr="005615A8" w14:paraId="2ED9B36B" w14:textId="77777777" w:rsidTr="0021658F">
        <w:trPr>
          <w:cantSplit/>
        </w:trPr>
        <w:tc>
          <w:tcPr>
            <w:tcW w:w="735" w:type="dxa"/>
            <w:vMerge/>
            <w:tcBorders>
              <w:bottom w:val="nil"/>
            </w:tcBorders>
            <w:shd w:val="clear" w:color="auto" w:fill="FFFFFF"/>
            <w:vAlign w:val="center"/>
          </w:tcPr>
          <w:p w14:paraId="73935542" w14:textId="77777777" w:rsidR="00372977" w:rsidRPr="005615A8" w:rsidRDefault="00372977" w:rsidP="0021658F">
            <w:pPr>
              <w:autoSpaceDE w:val="0"/>
              <w:autoSpaceDN w:val="0"/>
              <w:adjustRightInd w:val="0"/>
              <w:spacing w:after="0" w:line="240" w:lineRule="auto"/>
              <w:rPr>
                <w:rFonts w:ascii="Arial" w:hAnsi="Arial" w:cs="Arial"/>
                <w:color w:val="000000"/>
                <w:sz w:val="18"/>
                <w:szCs w:val="18"/>
              </w:rPr>
            </w:pPr>
          </w:p>
        </w:tc>
        <w:tc>
          <w:tcPr>
            <w:tcW w:w="2570" w:type="dxa"/>
            <w:tcBorders>
              <w:bottom w:val="nil"/>
            </w:tcBorders>
            <w:shd w:val="clear" w:color="auto" w:fill="FFFFFF"/>
            <w:vAlign w:val="center"/>
          </w:tcPr>
          <w:p w14:paraId="763AB152" w14:textId="77777777" w:rsidR="00372977" w:rsidRPr="008B7BB5" w:rsidRDefault="00372977" w:rsidP="0021658F">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Salud </w:t>
            </w:r>
          </w:p>
        </w:tc>
        <w:tc>
          <w:tcPr>
            <w:tcW w:w="1208" w:type="dxa"/>
            <w:tcBorders>
              <w:bottom w:val="nil"/>
            </w:tcBorders>
            <w:shd w:val="clear" w:color="auto" w:fill="FFFFFF"/>
            <w:vAlign w:val="center"/>
          </w:tcPr>
          <w:p w14:paraId="44B189CE"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1</w:t>
            </w:r>
          </w:p>
        </w:tc>
        <w:tc>
          <w:tcPr>
            <w:tcW w:w="1177" w:type="dxa"/>
            <w:tcBorders>
              <w:bottom w:val="nil"/>
            </w:tcBorders>
            <w:shd w:val="clear" w:color="auto" w:fill="FFFFFF"/>
            <w:vAlign w:val="center"/>
          </w:tcPr>
          <w:p w14:paraId="6A0076C8"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3.2</w:t>
            </w:r>
          </w:p>
        </w:tc>
      </w:tr>
      <w:tr w:rsidR="00372977" w:rsidRPr="005615A8" w14:paraId="5767CFEE" w14:textId="77777777" w:rsidTr="0021658F">
        <w:trPr>
          <w:cantSplit/>
        </w:trPr>
        <w:tc>
          <w:tcPr>
            <w:tcW w:w="735" w:type="dxa"/>
            <w:vMerge/>
            <w:tcBorders>
              <w:bottom w:val="nil"/>
            </w:tcBorders>
            <w:shd w:val="clear" w:color="auto" w:fill="FFFFFF"/>
            <w:vAlign w:val="center"/>
          </w:tcPr>
          <w:p w14:paraId="70C4E4C3" w14:textId="77777777" w:rsidR="00372977" w:rsidRPr="005615A8" w:rsidRDefault="00372977" w:rsidP="0021658F">
            <w:pPr>
              <w:autoSpaceDE w:val="0"/>
              <w:autoSpaceDN w:val="0"/>
              <w:adjustRightInd w:val="0"/>
              <w:spacing w:after="0" w:line="240" w:lineRule="auto"/>
              <w:rPr>
                <w:rFonts w:ascii="Arial" w:hAnsi="Arial" w:cs="Arial"/>
                <w:color w:val="000000"/>
                <w:sz w:val="18"/>
                <w:szCs w:val="18"/>
              </w:rPr>
            </w:pPr>
          </w:p>
        </w:tc>
        <w:tc>
          <w:tcPr>
            <w:tcW w:w="2570" w:type="dxa"/>
            <w:tcBorders>
              <w:bottom w:val="nil"/>
            </w:tcBorders>
            <w:shd w:val="clear" w:color="auto" w:fill="FFFFFF"/>
            <w:vAlign w:val="center"/>
          </w:tcPr>
          <w:p w14:paraId="4C890553" w14:textId="77777777" w:rsidR="00372977" w:rsidRPr="008B7BB5" w:rsidRDefault="00372977" w:rsidP="0021658F">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Servicios </w:t>
            </w:r>
          </w:p>
        </w:tc>
        <w:tc>
          <w:tcPr>
            <w:tcW w:w="1208" w:type="dxa"/>
            <w:tcBorders>
              <w:bottom w:val="nil"/>
            </w:tcBorders>
            <w:shd w:val="clear" w:color="auto" w:fill="FFFFFF"/>
            <w:vAlign w:val="center"/>
          </w:tcPr>
          <w:p w14:paraId="3F9E1DFD"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4</w:t>
            </w:r>
          </w:p>
        </w:tc>
        <w:tc>
          <w:tcPr>
            <w:tcW w:w="1177" w:type="dxa"/>
            <w:tcBorders>
              <w:bottom w:val="nil"/>
            </w:tcBorders>
            <w:shd w:val="clear" w:color="auto" w:fill="FFFFFF"/>
            <w:vAlign w:val="center"/>
          </w:tcPr>
          <w:p w14:paraId="2FF14EC6"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12.9</w:t>
            </w:r>
          </w:p>
        </w:tc>
      </w:tr>
      <w:tr w:rsidR="00372977" w:rsidRPr="005615A8" w14:paraId="43AFCB2A" w14:textId="77777777" w:rsidTr="0021658F">
        <w:trPr>
          <w:cantSplit/>
        </w:trPr>
        <w:tc>
          <w:tcPr>
            <w:tcW w:w="735" w:type="dxa"/>
            <w:vMerge/>
            <w:tcBorders>
              <w:bottom w:val="nil"/>
            </w:tcBorders>
            <w:shd w:val="clear" w:color="auto" w:fill="FFFFFF"/>
            <w:vAlign w:val="center"/>
          </w:tcPr>
          <w:p w14:paraId="44A0BAAC" w14:textId="77777777" w:rsidR="00372977" w:rsidRPr="005615A8" w:rsidRDefault="00372977" w:rsidP="0021658F">
            <w:pPr>
              <w:autoSpaceDE w:val="0"/>
              <w:autoSpaceDN w:val="0"/>
              <w:adjustRightInd w:val="0"/>
              <w:spacing w:after="0" w:line="240" w:lineRule="auto"/>
              <w:rPr>
                <w:rFonts w:ascii="Arial" w:hAnsi="Arial" w:cs="Arial"/>
                <w:color w:val="000000"/>
                <w:sz w:val="18"/>
                <w:szCs w:val="18"/>
              </w:rPr>
            </w:pPr>
          </w:p>
        </w:tc>
        <w:tc>
          <w:tcPr>
            <w:tcW w:w="2570" w:type="dxa"/>
            <w:tcBorders>
              <w:bottom w:val="nil"/>
            </w:tcBorders>
            <w:shd w:val="clear" w:color="auto" w:fill="FFFFFF"/>
            <w:vAlign w:val="center"/>
          </w:tcPr>
          <w:p w14:paraId="652630D3" w14:textId="77777777" w:rsidR="00372977" w:rsidRPr="008B7BB5" w:rsidRDefault="00372977" w:rsidP="0021658F">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Otro </w:t>
            </w:r>
          </w:p>
        </w:tc>
        <w:tc>
          <w:tcPr>
            <w:tcW w:w="1208" w:type="dxa"/>
            <w:tcBorders>
              <w:bottom w:val="nil"/>
            </w:tcBorders>
            <w:shd w:val="clear" w:color="auto" w:fill="FFFFFF"/>
            <w:vAlign w:val="center"/>
          </w:tcPr>
          <w:p w14:paraId="052BEE6A"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1</w:t>
            </w:r>
          </w:p>
        </w:tc>
        <w:tc>
          <w:tcPr>
            <w:tcW w:w="1177" w:type="dxa"/>
            <w:tcBorders>
              <w:bottom w:val="nil"/>
            </w:tcBorders>
            <w:shd w:val="clear" w:color="auto" w:fill="FFFFFF"/>
            <w:vAlign w:val="center"/>
          </w:tcPr>
          <w:p w14:paraId="0166113C"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3.2</w:t>
            </w:r>
          </w:p>
        </w:tc>
      </w:tr>
      <w:tr w:rsidR="00372977" w:rsidRPr="005615A8" w14:paraId="62BB6DB0" w14:textId="77777777" w:rsidTr="0021658F">
        <w:trPr>
          <w:cantSplit/>
        </w:trPr>
        <w:tc>
          <w:tcPr>
            <w:tcW w:w="735" w:type="dxa"/>
            <w:vMerge/>
            <w:tcBorders>
              <w:bottom w:val="single" w:sz="4" w:space="0" w:color="auto"/>
            </w:tcBorders>
            <w:shd w:val="clear" w:color="auto" w:fill="FFFFFF"/>
            <w:vAlign w:val="center"/>
          </w:tcPr>
          <w:p w14:paraId="4A11F615" w14:textId="77777777" w:rsidR="00372977" w:rsidRPr="005615A8" w:rsidRDefault="00372977" w:rsidP="0021658F">
            <w:pPr>
              <w:autoSpaceDE w:val="0"/>
              <w:autoSpaceDN w:val="0"/>
              <w:adjustRightInd w:val="0"/>
              <w:spacing w:after="0" w:line="240" w:lineRule="auto"/>
              <w:rPr>
                <w:rFonts w:ascii="Arial" w:hAnsi="Arial" w:cs="Arial"/>
                <w:color w:val="000000"/>
                <w:sz w:val="18"/>
                <w:szCs w:val="18"/>
              </w:rPr>
            </w:pPr>
          </w:p>
        </w:tc>
        <w:tc>
          <w:tcPr>
            <w:tcW w:w="2570" w:type="dxa"/>
            <w:tcBorders>
              <w:bottom w:val="single" w:sz="4" w:space="0" w:color="auto"/>
            </w:tcBorders>
            <w:shd w:val="clear" w:color="auto" w:fill="FFFFFF"/>
            <w:vAlign w:val="center"/>
          </w:tcPr>
          <w:p w14:paraId="2E1A512E" w14:textId="77777777" w:rsidR="00372977" w:rsidRPr="008B7BB5" w:rsidRDefault="00372977" w:rsidP="0021658F">
            <w:pPr>
              <w:autoSpaceDE w:val="0"/>
              <w:autoSpaceDN w:val="0"/>
              <w:adjustRightInd w:val="0"/>
              <w:spacing w:after="0" w:line="320" w:lineRule="atLeast"/>
              <w:ind w:left="60" w:right="60"/>
              <w:rPr>
                <w:rFonts w:ascii="Times New Roman" w:hAnsi="Times New Roman" w:cs="Times New Roman"/>
                <w:color w:val="000000"/>
                <w:sz w:val="18"/>
                <w:szCs w:val="18"/>
              </w:rPr>
            </w:pPr>
            <w:r w:rsidRPr="008B7BB5">
              <w:rPr>
                <w:rFonts w:ascii="Times New Roman" w:hAnsi="Times New Roman" w:cs="Times New Roman"/>
                <w:color w:val="000000"/>
                <w:sz w:val="18"/>
                <w:szCs w:val="18"/>
              </w:rPr>
              <w:t>Total</w:t>
            </w:r>
          </w:p>
        </w:tc>
        <w:tc>
          <w:tcPr>
            <w:tcW w:w="1208" w:type="dxa"/>
            <w:tcBorders>
              <w:bottom w:val="single" w:sz="4" w:space="0" w:color="auto"/>
            </w:tcBorders>
            <w:shd w:val="clear" w:color="auto" w:fill="FFFFFF"/>
            <w:vAlign w:val="center"/>
          </w:tcPr>
          <w:p w14:paraId="42A92B7A"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31</w:t>
            </w:r>
          </w:p>
        </w:tc>
        <w:tc>
          <w:tcPr>
            <w:tcW w:w="1177" w:type="dxa"/>
            <w:tcBorders>
              <w:bottom w:val="single" w:sz="4" w:space="0" w:color="auto"/>
            </w:tcBorders>
            <w:shd w:val="clear" w:color="auto" w:fill="FFFFFF"/>
            <w:vAlign w:val="center"/>
          </w:tcPr>
          <w:p w14:paraId="6EF5B205" w14:textId="77777777" w:rsidR="00372977" w:rsidRPr="00D67BE9" w:rsidRDefault="00372977" w:rsidP="0021658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67BE9">
              <w:rPr>
                <w:rFonts w:ascii="Times New Roman" w:hAnsi="Times New Roman" w:cs="Times New Roman"/>
                <w:color w:val="000000"/>
                <w:sz w:val="18"/>
                <w:szCs w:val="18"/>
              </w:rPr>
              <w:t>100.0</w:t>
            </w:r>
          </w:p>
        </w:tc>
      </w:tr>
    </w:tbl>
    <w:p w14:paraId="4B6BED27" w14:textId="6E648FA1" w:rsidR="00372977" w:rsidRPr="00372977" w:rsidRDefault="00372977" w:rsidP="00372977">
      <w:pPr>
        <w:shd w:val="clear" w:color="auto" w:fill="FFFFFF"/>
        <w:spacing w:after="0" w:line="240" w:lineRule="auto"/>
        <w:rPr>
          <w:rFonts w:ascii="Times New Roman" w:eastAsia="Times New Roman" w:hAnsi="Times New Roman" w:cs="Times New Roman"/>
          <w:color w:val="222222"/>
          <w:sz w:val="20"/>
          <w:szCs w:val="20"/>
          <w:lang w:eastAsia="es-MX"/>
        </w:rPr>
      </w:pPr>
      <w:r w:rsidRPr="00372977">
        <w:rPr>
          <w:rFonts w:ascii="Times New Roman" w:eastAsia="Times New Roman" w:hAnsi="Times New Roman" w:cs="Times New Roman"/>
          <w:color w:val="222222"/>
          <w:sz w:val="20"/>
          <w:szCs w:val="20"/>
          <w:lang w:eastAsia="es-MX"/>
        </w:rPr>
        <w:t>Fuente: Encuesta EE OIL-UJED</w:t>
      </w:r>
    </w:p>
    <w:p w14:paraId="0675C072" w14:textId="77777777" w:rsidR="00372977" w:rsidRPr="007F650F" w:rsidRDefault="00372977" w:rsidP="00372977">
      <w:pPr>
        <w:shd w:val="clear" w:color="auto" w:fill="FFFFFF"/>
        <w:spacing w:after="0" w:line="240" w:lineRule="auto"/>
        <w:rPr>
          <w:rFonts w:ascii="Arial" w:eastAsia="Times New Roman" w:hAnsi="Arial" w:cs="Arial"/>
          <w:color w:val="222222"/>
          <w:sz w:val="19"/>
          <w:szCs w:val="19"/>
          <w:lang w:eastAsia="es-MX"/>
        </w:rPr>
      </w:pPr>
    </w:p>
    <w:p w14:paraId="79FD0CFC" w14:textId="77777777" w:rsidR="008314A6" w:rsidRPr="00EC5075" w:rsidRDefault="008314A6" w:rsidP="00EC5075">
      <w:pPr>
        <w:pStyle w:val="Sinespaciado"/>
      </w:pPr>
    </w:p>
    <w:p w14:paraId="7DB5C9AF" w14:textId="77777777" w:rsidR="00D36249" w:rsidRDefault="00D7178B" w:rsidP="00D7178B">
      <w:pPr>
        <w:pStyle w:val="Sinespaciado"/>
        <w:jc w:val="both"/>
        <w:rPr>
          <w:rStyle w:val="Ttulo1Car"/>
          <w:rFonts w:ascii="Times New Roman" w:hAnsi="Times New Roman" w:cs="Times New Roman"/>
          <w:smallCaps/>
          <w:color w:val="auto"/>
          <w:sz w:val="24"/>
          <w:szCs w:val="24"/>
        </w:rPr>
      </w:pPr>
      <w:r w:rsidRPr="00652DEA">
        <w:rPr>
          <w:rStyle w:val="Ttulo1Car"/>
          <w:rFonts w:ascii="Times New Roman" w:hAnsi="Times New Roman" w:cs="Times New Roman"/>
          <w:color w:val="auto"/>
          <w:sz w:val="24"/>
          <w:szCs w:val="24"/>
        </w:rPr>
        <w:t xml:space="preserve">V. </w:t>
      </w:r>
      <w:r w:rsidR="008F6C56" w:rsidRPr="00C824CC">
        <w:rPr>
          <w:rStyle w:val="Ttulo1Car"/>
          <w:rFonts w:ascii="Times New Roman" w:hAnsi="Times New Roman" w:cs="Times New Roman"/>
          <w:smallCaps/>
          <w:color w:val="auto"/>
          <w:sz w:val="24"/>
          <w:szCs w:val="24"/>
        </w:rPr>
        <w:t>Conclusiones y Discusión</w:t>
      </w:r>
    </w:p>
    <w:p w14:paraId="00587083" w14:textId="77777777" w:rsidR="00D7178B" w:rsidRPr="00FF29AE" w:rsidRDefault="008F6C56" w:rsidP="00D7178B">
      <w:pPr>
        <w:pStyle w:val="Sinespaciado"/>
        <w:jc w:val="both"/>
        <w:rPr>
          <w:rFonts w:ascii="Times New Roman" w:hAnsi="Times New Roman" w:cs="Times New Roman"/>
          <w:sz w:val="24"/>
          <w:szCs w:val="24"/>
          <w:lang w:val="es-MX"/>
        </w:rPr>
      </w:pPr>
      <w:r w:rsidRPr="00C824CC">
        <w:rPr>
          <w:rFonts w:ascii="Times New Roman" w:hAnsi="Times New Roman" w:cs="Times New Roman"/>
          <w:b/>
          <w:smallCaps/>
          <w:sz w:val="24"/>
          <w:szCs w:val="24"/>
          <w:lang w:val="es-MX"/>
        </w:rPr>
        <w:t xml:space="preserve"> </w:t>
      </w:r>
    </w:p>
    <w:p w14:paraId="26D5C800" w14:textId="77777777" w:rsidR="006B5D70" w:rsidRDefault="003C3922" w:rsidP="00D36249">
      <w:pPr>
        <w:pStyle w:val="Sinespaciado"/>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FD2383">
        <w:rPr>
          <w:rFonts w:ascii="Times New Roman" w:hAnsi="Times New Roman" w:cs="Times New Roman"/>
          <w:sz w:val="24"/>
          <w:szCs w:val="24"/>
          <w:lang w:val="es-MX"/>
        </w:rPr>
        <w:t>Esta primera etapa del proyecto OIL concretó las siguientes acciones: diseño de los tres instrumentos y aplicación de los mismos. Las visitas de reconocimiento en las localidades fueron bien recibidas por parte de la presidencia municipal, de los directores de los bachilleratos y de los estudiantes. Lo anterior permitió aplicar prueba piloto y detallar los instrumentos finales. Conocer los diferentes contextos permitió al equipo investigador hacer una planeación efectiva del trabajo de campo, tratando de obtener así el mayor número de participación. Se observó una participación favorable por parte de los estudiantes</w:t>
      </w:r>
      <w:r w:rsidR="006B5D70">
        <w:rPr>
          <w:rFonts w:ascii="Times New Roman" w:hAnsi="Times New Roman" w:cs="Times New Roman"/>
          <w:sz w:val="24"/>
          <w:szCs w:val="24"/>
          <w:lang w:val="es-MX"/>
        </w:rPr>
        <w:t xml:space="preserve">, hay que destacar la participación activa de los directores y de los enlaces de los coordinadores de los centros educativos a distancia de la UJED. </w:t>
      </w:r>
    </w:p>
    <w:p w14:paraId="04AB2A5E" w14:textId="77777777" w:rsidR="002F786A" w:rsidRDefault="006B5D70" w:rsidP="00D36249">
      <w:pPr>
        <w:pStyle w:val="Sinespaciado"/>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Se </w:t>
      </w:r>
      <w:r w:rsidR="00D36249">
        <w:rPr>
          <w:rFonts w:ascii="Times New Roman" w:hAnsi="Times New Roman" w:cs="Times New Roman"/>
          <w:sz w:val="24"/>
          <w:szCs w:val="24"/>
          <w:lang w:val="es-MX"/>
        </w:rPr>
        <w:t>observaron</w:t>
      </w:r>
      <w:r>
        <w:rPr>
          <w:rFonts w:ascii="Times New Roman" w:hAnsi="Times New Roman" w:cs="Times New Roman"/>
          <w:sz w:val="24"/>
          <w:szCs w:val="24"/>
          <w:lang w:val="es-MX"/>
        </w:rPr>
        <w:t xml:space="preserve"> diferencia</w:t>
      </w:r>
      <w:r w:rsidR="00D36249">
        <w:rPr>
          <w:rFonts w:ascii="Times New Roman" w:hAnsi="Times New Roman" w:cs="Times New Roman"/>
          <w:sz w:val="24"/>
          <w:szCs w:val="24"/>
          <w:lang w:val="es-MX"/>
        </w:rPr>
        <w:t>s</w:t>
      </w:r>
      <w:r>
        <w:rPr>
          <w:rFonts w:ascii="Times New Roman" w:hAnsi="Times New Roman" w:cs="Times New Roman"/>
          <w:sz w:val="24"/>
          <w:szCs w:val="24"/>
          <w:lang w:val="es-MX"/>
        </w:rPr>
        <w:t xml:space="preserve"> en los niveles de participación con respecto  los padres de familia, mostrando mayor afluencia en Santiago Papasquiaro y Tepehuanes. </w:t>
      </w:r>
      <w:r w:rsidR="002B788A">
        <w:rPr>
          <w:rFonts w:ascii="Times New Roman" w:hAnsi="Times New Roman" w:cs="Times New Roman"/>
          <w:sz w:val="24"/>
          <w:szCs w:val="24"/>
          <w:lang w:val="es-MX"/>
        </w:rPr>
        <w:t xml:space="preserve">Por otro lado se destaca </w:t>
      </w:r>
      <w:r w:rsidR="002B788A">
        <w:rPr>
          <w:rFonts w:ascii="Times New Roman" w:hAnsi="Times New Roman" w:cs="Times New Roman"/>
          <w:sz w:val="24"/>
          <w:szCs w:val="24"/>
          <w:lang w:val="es-MX"/>
        </w:rPr>
        <w:lastRenderedPageBreak/>
        <w:t xml:space="preserve">Santa María del Oro en la organización de un foro para empleadores que fortaleció la información recabada a través del instrumento. </w:t>
      </w:r>
    </w:p>
    <w:p w14:paraId="5EDEAFBB" w14:textId="6416C48E" w:rsidR="00EC5075" w:rsidRDefault="00EC5075" w:rsidP="00D36249">
      <w:pPr>
        <w:pStyle w:val="Sinespaciado"/>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Las perspectivas del OIL es terminar el análisis en esta primera etapa, realizar la divulgación de la información en los municipios visitados, al interior y exterior de la UJED; así como continuar con una segunda etapa. </w:t>
      </w:r>
    </w:p>
    <w:p w14:paraId="268365C4" w14:textId="77777777" w:rsidR="002B788A" w:rsidRDefault="002B788A" w:rsidP="00D7178B">
      <w:pPr>
        <w:pStyle w:val="Sinespaciado"/>
        <w:jc w:val="both"/>
        <w:rPr>
          <w:rStyle w:val="Ttulo1Car"/>
          <w:rFonts w:ascii="Times New Roman" w:hAnsi="Times New Roman" w:cs="Times New Roman"/>
          <w:smallCaps/>
          <w:color w:val="auto"/>
          <w:sz w:val="24"/>
          <w:szCs w:val="24"/>
          <w:lang w:val="es-MX"/>
        </w:rPr>
      </w:pPr>
    </w:p>
    <w:p w14:paraId="5CCDFDC2" w14:textId="77777777" w:rsidR="00B93001" w:rsidRPr="00EC5075" w:rsidRDefault="008F6C56" w:rsidP="00BB2DBC">
      <w:pPr>
        <w:pStyle w:val="Sinespaciado"/>
        <w:jc w:val="both"/>
        <w:rPr>
          <w:rStyle w:val="Ttulo1Car"/>
          <w:rFonts w:ascii="Times New Roman" w:hAnsi="Times New Roman" w:cs="Times New Roman"/>
          <w:color w:val="auto"/>
          <w:sz w:val="24"/>
          <w:szCs w:val="24"/>
          <w:lang w:val="en-US"/>
        </w:rPr>
      </w:pPr>
      <w:proofErr w:type="spellStart"/>
      <w:r w:rsidRPr="00EC5075">
        <w:rPr>
          <w:rStyle w:val="Ttulo1Car"/>
          <w:rFonts w:ascii="Times New Roman" w:hAnsi="Times New Roman" w:cs="Times New Roman"/>
          <w:smallCaps/>
          <w:color w:val="auto"/>
          <w:sz w:val="24"/>
          <w:szCs w:val="24"/>
          <w:lang w:val="en-US"/>
        </w:rPr>
        <w:t>Bibliografía</w:t>
      </w:r>
      <w:proofErr w:type="spellEnd"/>
      <w:r w:rsidR="00D7178B" w:rsidRPr="00EC5075">
        <w:rPr>
          <w:rStyle w:val="Ttulo1Car"/>
          <w:rFonts w:ascii="Times New Roman" w:hAnsi="Times New Roman" w:cs="Times New Roman"/>
          <w:color w:val="auto"/>
          <w:sz w:val="24"/>
          <w:szCs w:val="24"/>
          <w:lang w:val="en-US"/>
        </w:rPr>
        <w:t xml:space="preserve"> </w:t>
      </w:r>
    </w:p>
    <w:p w14:paraId="1115777A" w14:textId="77777777" w:rsidR="00BB2DBC" w:rsidRPr="00EC5075" w:rsidRDefault="00BB2DBC" w:rsidP="00BB2DBC">
      <w:pPr>
        <w:pStyle w:val="Sinespaciado"/>
        <w:jc w:val="both"/>
        <w:rPr>
          <w:rStyle w:val="Ttulo1Car"/>
          <w:rFonts w:ascii="Times New Roman" w:hAnsi="Times New Roman" w:cs="Times New Roman"/>
          <w:color w:val="auto"/>
          <w:sz w:val="24"/>
          <w:szCs w:val="24"/>
          <w:lang w:val="en-US"/>
        </w:rPr>
      </w:pPr>
    </w:p>
    <w:p w14:paraId="335E3498" w14:textId="77777777" w:rsidR="00BB2DBC" w:rsidRPr="00EC5075" w:rsidRDefault="00BB2DBC" w:rsidP="00BB2DBC">
      <w:pPr>
        <w:pStyle w:val="Sinespaciado"/>
        <w:jc w:val="both"/>
        <w:rPr>
          <w:rFonts w:ascii="Times New Roman" w:eastAsia="Times New Roman" w:hAnsi="Times New Roman" w:cs="Times New Roman"/>
          <w:sz w:val="24"/>
          <w:szCs w:val="24"/>
          <w:lang w:val="en-US" w:eastAsia="es-ES"/>
        </w:rPr>
      </w:pPr>
    </w:p>
    <w:p w14:paraId="50907202" w14:textId="77777777" w:rsidR="00B81AA9" w:rsidRPr="00396682" w:rsidRDefault="00396682" w:rsidP="00396682">
      <w:pPr>
        <w:pStyle w:val="Textoindependiente"/>
        <w:tabs>
          <w:tab w:val="left" w:pos="1287"/>
        </w:tabs>
        <w:ind w:left="1287" w:right="1134" w:hanging="1287"/>
        <w:rPr>
          <w:lang w:val="en-US"/>
        </w:rPr>
      </w:pPr>
      <w:r w:rsidRPr="00396682">
        <w:rPr>
          <w:lang w:val="en-US"/>
        </w:rPr>
        <w:t>OCDE (</w:t>
      </w:r>
      <w:r w:rsidR="00B81AA9" w:rsidRPr="00396682">
        <w:rPr>
          <w:lang w:val="en-US"/>
        </w:rPr>
        <w:t>2003</w:t>
      </w:r>
      <w:r w:rsidRPr="00396682">
        <w:rPr>
          <w:lang w:val="en-US"/>
        </w:rPr>
        <w:t>)</w:t>
      </w:r>
      <w:r w:rsidR="00B81AA9" w:rsidRPr="00396682">
        <w:rPr>
          <w:lang w:val="en-US"/>
        </w:rPr>
        <w:t xml:space="preserve">, </w:t>
      </w:r>
      <w:r w:rsidR="00B81AA9" w:rsidRPr="00396682">
        <w:rPr>
          <w:i/>
          <w:lang w:val="en-US"/>
        </w:rPr>
        <w:t xml:space="preserve">Networks of innovation. </w:t>
      </w:r>
      <w:proofErr w:type="gramStart"/>
      <w:r w:rsidR="00B81AA9" w:rsidRPr="00396682">
        <w:rPr>
          <w:i/>
          <w:lang w:val="en-US"/>
        </w:rPr>
        <w:t>Toward New Models for Managing Schools and Systems</w:t>
      </w:r>
      <w:r w:rsidR="00B81AA9" w:rsidRPr="00396682">
        <w:rPr>
          <w:lang w:val="en-US"/>
        </w:rPr>
        <w:t xml:space="preserve">, OCDE, </w:t>
      </w:r>
      <w:proofErr w:type="spellStart"/>
      <w:r w:rsidR="00B81AA9" w:rsidRPr="00396682">
        <w:rPr>
          <w:lang w:val="en-US"/>
        </w:rPr>
        <w:t>París</w:t>
      </w:r>
      <w:proofErr w:type="spellEnd"/>
      <w:r w:rsidR="00B81AA9" w:rsidRPr="00396682">
        <w:rPr>
          <w:lang w:val="en-US"/>
        </w:rPr>
        <w:t>.</w:t>
      </w:r>
      <w:proofErr w:type="gramEnd"/>
      <w:r w:rsidR="00B81AA9" w:rsidRPr="00396682">
        <w:rPr>
          <w:lang w:val="en-US"/>
        </w:rPr>
        <w:t xml:space="preserve"> </w:t>
      </w:r>
    </w:p>
    <w:p w14:paraId="4B60B555" w14:textId="77777777" w:rsidR="00396682" w:rsidRPr="00B01A85" w:rsidRDefault="00396682" w:rsidP="00396682">
      <w:pPr>
        <w:pStyle w:val="Textoindependiente"/>
        <w:tabs>
          <w:tab w:val="left" w:pos="1287"/>
        </w:tabs>
        <w:ind w:left="1287" w:right="1134" w:hanging="1287"/>
        <w:rPr>
          <w:lang w:val="en-US"/>
        </w:rPr>
      </w:pPr>
      <w:proofErr w:type="gramStart"/>
      <w:r w:rsidRPr="00B01A85">
        <w:rPr>
          <w:lang w:val="en-US"/>
        </w:rPr>
        <w:t>OECD (2015).</w:t>
      </w:r>
      <w:proofErr w:type="gramEnd"/>
      <w:r w:rsidRPr="00B01A85">
        <w:rPr>
          <w:lang w:val="en-US"/>
        </w:rPr>
        <w:t xml:space="preserve"> Education at a Glance: OECD Indicators, OECD Publishing. </w:t>
      </w:r>
    </w:p>
    <w:p w14:paraId="547C7C7B" w14:textId="77777777" w:rsidR="007C236D" w:rsidRPr="00396682" w:rsidRDefault="007C236D" w:rsidP="00396682">
      <w:pPr>
        <w:pStyle w:val="Textoindependiente"/>
        <w:ind w:left="709" w:hanging="709"/>
        <w:rPr>
          <w:szCs w:val="24"/>
        </w:rPr>
      </w:pPr>
      <w:r w:rsidRPr="00396682">
        <w:rPr>
          <w:szCs w:val="24"/>
        </w:rPr>
        <w:t xml:space="preserve">Ornelas C. (1995). </w:t>
      </w:r>
      <w:r w:rsidRPr="00396682">
        <w:rPr>
          <w:i/>
          <w:szCs w:val="24"/>
        </w:rPr>
        <w:t>El sistema educativo mexicano. La transición de fin de siglo.</w:t>
      </w:r>
      <w:r w:rsidRPr="00396682">
        <w:rPr>
          <w:szCs w:val="24"/>
        </w:rPr>
        <w:t xml:space="preserve"> Nacional Financiera. Centro de Investigación y Docencia Económicas. Fondo de Cultura Económica.</w:t>
      </w:r>
    </w:p>
    <w:p w14:paraId="74EE3276" w14:textId="77777777" w:rsidR="007C236D" w:rsidRPr="00B01A85" w:rsidRDefault="007C236D" w:rsidP="00396682">
      <w:pPr>
        <w:pStyle w:val="Textoindependiente"/>
        <w:tabs>
          <w:tab w:val="left" w:pos="1287"/>
        </w:tabs>
        <w:ind w:left="709" w:right="1134" w:hanging="709"/>
        <w:rPr>
          <w:rFonts w:ascii="Garamond" w:hAnsi="Garamond"/>
        </w:rPr>
      </w:pPr>
    </w:p>
    <w:p w14:paraId="386E6C11" w14:textId="77777777" w:rsidR="00D7178B" w:rsidRPr="00B01A85" w:rsidRDefault="00D7178B" w:rsidP="00D7178B">
      <w:pPr>
        <w:pStyle w:val="Sinespaciado"/>
        <w:jc w:val="both"/>
        <w:rPr>
          <w:rFonts w:ascii="Times New Roman" w:hAnsi="Times New Roman" w:cs="Times New Roman"/>
          <w:sz w:val="24"/>
          <w:szCs w:val="24"/>
        </w:rPr>
      </w:pPr>
    </w:p>
    <w:sectPr w:rsidR="00D7178B" w:rsidRPr="00B01A85" w:rsidSect="005460F6">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12F30" w14:textId="77777777" w:rsidR="008334D0" w:rsidRDefault="008334D0" w:rsidP="00190004">
      <w:pPr>
        <w:spacing w:after="0" w:line="240" w:lineRule="auto"/>
      </w:pPr>
      <w:r>
        <w:separator/>
      </w:r>
    </w:p>
  </w:endnote>
  <w:endnote w:type="continuationSeparator" w:id="0">
    <w:p w14:paraId="3A4B3B78" w14:textId="77777777" w:rsidR="008334D0" w:rsidRDefault="008334D0"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3173"/>
      <w:docPartObj>
        <w:docPartGallery w:val="Page Numbers (Bottom of Page)"/>
        <w:docPartUnique/>
      </w:docPartObj>
    </w:sdtPr>
    <w:sdtEndPr/>
    <w:sdtContent>
      <w:p w14:paraId="6E9BC4D0" w14:textId="77777777" w:rsidR="00190004" w:rsidRDefault="00190004">
        <w:pPr>
          <w:pStyle w:val="Piedepgina"/>
          <w:jc w:val="right"/>
        </w:pPr>
        <w:r>
          <w:fldChar w:fldCharType="begin"/>
        </w:r>
        <w:r>
          <w:instrText>PAGE   \* MERGEFORMAT</w:instrText>
        </w:r>
        <w:r>
          <w:fldChar w:fldCharType="separate"/>
        </w:r>
        <w:r w:rsidR="00372977">
          <w:rPr>
            <w:noProof/>
          </w:rPr>
          <w:t>9</w:t>
        </w:r>
        <w:r>
          <w:fldChar w:fldCharType="end"/>
        </w:r>
      </w:p>
    </w:sdtContent>
  </w:sdt>
  <w:p w14:paraId="1196E647" w14:textId="77777777"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FCFC5" w14:textId="77777777" w:rsidR="008334D0" w:rsidRDefault="008334D0" w:rsidP="00190004">
      <w:pPr>
        <w:spacing w:after="0" w:line="240" w:lineRule="auto"/>
      </w:pPr>
      <w:r>
        <w:separator/>
      </w:r>
    </w:p>
  </w:footnote>
  <w:footnote w:type="continuationSeparator" w:id="0">
    <w:p w14:paraId="39AB0E05" w14:textId="77777777" w:rsidR="008334D0" w:rsidRDefault="008334D0" w:rsidP="0019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8490" w14:textId="77777777" w:rsidR="009039B5" w:rsidRDefault="009039B5" w:rsidP="009039B5">
    <w:pPr>
      <w:jc w:val="both"/>
      <w:rPr>
        <w:rFonts w:ascii="Times New Roman" w:hAnsi="Times New Roman" w:cs="Times New Roman"/>
        <w:b/>
        <w:sz w:val="24"/>
        <w:szCs w:val="24"/>
        <w:lang w:val="es-MX"/>
      </w:rPr>
    </w:pPr>
    <w:r w:rsidRPr="00FF29AE">
      <w:rPr>
        <w:rFonts w:ascii="Times New Roman" w:hAnsi="Times New Roman" w:cs="Times New Roman"/>
        <w:b/>
        <w:sz w:val="24"/>
        <w:szCs w:val="24"/>
        <w:lang w:val="es-MX"/>
      </w:rPr>
      <w:t>Márgenes 2,5 cm (1 pulgada) por lado</w:t>
    </w:r>
  </w:p>
  <w:p w14:paraId="24D775C5" w14:textId="77777777" w:rsidR="009039B5" w:rsidRDefault="009039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344B27"/>
    <w:multiLevelType w:val="hybridMultilevel"/>
    <w:tmpl w:val="A1F234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6">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21"/>
  </w:num>
  <w:num w:numId="3">
    <w:abstractNumId w:val="13"/>
  </w:num>
  <w:num w:numId="4">
    <w:abstractNumId w:val="4"/>
  </w:num>
  <w:num w:numId="5">
    <w:abstractNumId w:val="14"/>
  </w:num>
  <w:num w:numId="6">
    <w:abstractNumId w:val="17"/>
  </w:num>
  <w:num w:numId="7">
    <w:abstractNumId w:val="23"/>
  </w:num>
  <w:num w:numId="8">
    <w:abstractNumId w:val="3"/>
  </w:num>
  <w:num w:numId="9">
    <w:abstractNumId w:val="1"/>
  </w:num>
  <w:num w:numId="10">
    <w:abstractNumId w:val="6"/>
  </w:num>
  <w:num w:numId="11">
    <w:abstractNumId w:val="16"/>
  </w:num>
  <w:num w:numId="12">
    <w:abstractNumId w:val="5"/>
  </w:num>
  <w:num w:numId="13">
    <w:abstractNumId w:val="20"/>
  </w:num>
  <w:num w:numId="14">
    <w:abstractNumId w:val="10"/>
  </w:num>
  <w:num w:numId="15">
    <w:abstractNumId w:val="18"/>
  </w:num>
  <w:num w:numId="16">
    <w:abstractNumId w:val="22"/>
  </w:num>
  <w:num w:numId="17">
    <w:abstractNumId w:val="11"/>
  </w:num>
  <w:num w:numId="18">
    <w:abstractNumId w:val="27"/>
  </w:num>
  <w:num w:numId="19">
    <w:abstractNumId w:val="8"/>
  </w:num>
  <w:num w:numId="20">
    <w:abstractNumId w:val="12"/>
  </w:num>
  <w:num w:numId="21">
    <w:abstractNumId w:val="26"/>
  </w:num>
  <w:num w:numId="22">
    <w:abstractNumId w:val="7"/>
  </w:num>
  <w:num w:numId="23">
    <w:abstractNumId w:val="25"/>
  </w:num>
  <w:num w:numId="24">
    <w:abstractNumId w:val="29"/>
  </w:num>
  <w:num w:numId="25">
    <w:abstractNumId w:val="15"/>
  </w:num>
  <w:num w:numId="26">
    <w:abstractNumId w:val="0"/>
  </w:num>
  <w:num w:numId="27">
    <w:abstractNumId w:val="24"/>
  </w:num>
  <w:num w:numId="28">
    <w:abstractNumId w:val="9"/>
  </w:num>
  <w:num w:numId="29">
    <w:abstractNumId w:val="2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69"/>
    <w:rsid w:val="00064109"/>
    <w:rsid w:val="000748D1"/>
    <w:rsid w:val="00086DD6"/>
    <w:rsid w:val="000B08E1"/>
    <w:rsid w:val="000B489D"/>
    <w:rsid w:val="000C0118"/>
    <w:rsid w:val="00144A8B"/>
    <w:rsid w:val="001475A4"/>
    <w:rsid w:val="00160CC9"/>
    <w:rsid w:val="00172076"/>
    <w:rsid w:val="00190004"/>
    <w:rsid w:val="00207ADC"/>
    <w:rsid w:val="00245C0B"/>
    <w:rsid w:val="00275469"/>
    <w:rsid w:val="00283FA0"/>
    <w:rsid w:val="002A7BAE"/>
    <w:rsid w:val="002B1F1E"/>
    <w:rsid w:val="002B788A"/>
    <w:rsid w:val="002C2135"/>
    <w:rsid w:val="002F786A"/>
    <w:rsid w:val="00303D0A"/>
    <w:rsid w:val="00312C99"/>
    <w:rsid w:val="003138A8"/>
    <w:rsid w:val="00325163"/>
    <w:rsid w:val="00334484"/>
    <w:rsid w:val="00372977"/>
    <w:rsid w:val="003911DE"/>
    <w:rsid w:val="00396682"/>
    <w:rsid w:val="003A1DB8"/>
    <w:rsid w:val="003C3922"/>
    <w:rsid w:val="00422E6A"/>
    <w:rsid w:val="0046092A"/>
    <w:rsid w:val="004633B0"/>
    <w:rsid w:val="0046395F"/>
    <w:rsid w:val="004A0771"/>
    <w:rsid w:val="004D0ECA"/>
    <w:rsid w:val="00515DF6"/>
    <w:rsid w:val="00526E13"/>
    <w:rsid w:val="005460F6"/>
    <w:rsid w:val="00626DA9"/>
    <w:rsid w:val="00652DEA"/>
    <w:rsid w:val="006B5D70"/>
    <w:rsid w:val="006E2D08"/>
    <w:rsid w:val="0078254D"/>
    <w:rsid w:val="00796C2E"/>
    <w:rsid w:val="007C236D"/>
    <w:rsid w:val="008314A6"/>
    <w:rsid w:val="008334D0"/>
    <w:rsid w:val="008347AF"/>
    <w:rsid w:val="0085493C"/>
    <w:rsid w:val="00871918"/>
    <w:rsid w:val="00892BD9"/>
    <w:rsid w:val="008B7BB5"/>
    <w:rsid w:val="008E4A5A"/>
    <w:rsid w:val="008F6C56"/>
    <w:rsid w:val="009039B5"/>
    <w:rsid w:val="009500C0"/>
    <w:rsid w:val="0097564E"/>
    <w:rsid w:val="009A6E75"/>
    <w:rsid w:val="009F03F6"/>
    <w:rsid w:val="009F7744"/>
    <w:rsid w:val="00A33748"/>
    <w:rsid w:val="00A43898"/>
    <w:rsid w:val="00A6352F"/>
    <w:rsid w:val="00A64DCE"/>
    <w:rsid w:val="00AF1CEC"/>
    <w:rsid w:val="00B01A85"/>
    <w:rsid w:val="00B21964"/>
    <w:rsid w:val="00B263E6"/>
    <w:rsid w:val="00B667DF"/>
    <w:rsid w:val="00B81AA9"/>
    <w:rsid w:val="00B93001"/>
    <w:rsid w:val="00BB2DBC"/>
    <w:rsid w:val="00BBB8CB"/>
    <w:rsid w:val="00C824CC"/>
    <w:rsid w:val="00D15B99"/>
    <w:rsid w:val="00D1784D"/>
    <w:rsid w:val="00D36249"/>
    <w:rsid w:val="00D37917"/>
    <w:rsid w:val="00D7178B"/>
    <w:rsid w:val="00D76FEA"/>
    <w:rsid w:val="00D77C2A"/>
    <w:rsid w:val="00D82388"/>
    <w:rsid w:val="00D92BA5"/>
    <w:rsid w:val="00DA298D"/>
    <w:rsid w:val="00DC4514"/>
    <w:rsid w:val="00E06F79"/>
    <w:rsid w:val="00E31CDF"/>
    <w:rsid w:val="00E455BD"/>
    <w:rsid w:val="00E87C96"/>
    <w:rsid w:val="00EC5075"/>
    <w:rsid w:val="00F245C2"/>
    <w:rsid w:val="00F57D8A"/>
    <w:rsid w:val="00F6707E"/>
    <w:rsid w:val="00F81C75"/>
    <w:rsid w:val="00FD2383"/>
    <w:rsid w:val="00FD364C"/>
    <w:rsid w:val="00FF1508"/>
    <w:rsid w:val="00FF29AE"/>
    <w:rsid w:val="6EF84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Textoindependiente">
    <w:name w:val="Body Text"/>
    <w:basedOn w:val="Normal"/>
    <w:link w:val="TextoindependienteCar"/>
    <w:rsid w:val="00D15B99"/>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15B99"/>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EC50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Textoindependiente">
    <w:name w:val="Body Text"/>
    <w:basedOn w:val="Normal"/>
    <w:link w:val="TextoindependienteCar"/>
    <w:rsid w:val="00D15B99"/>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15B99"/>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EC50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5480">
      <w:bodyDiv w:val="1"/>
      <w:marLeft w:val="0"/>
      <w:marRight w:val="0"/>
      <w:marTop w:val="0"/>
      <w:marBottom w:val="0"/>
      <w:divBdr>
        <w:top w:val="none" w:sz="0" w:space="0" w:color="auto"/>
        <w:left w:val="none" w:sz="0" w:space="0" w:color="auto"/>
        <w:bottom w:val="none" w:sz="0" w:space="0" w:color="auto"/>
        <w:right w:val="none" w:sz="0" w:space="0" w:color="auto"/>
      </w:divBdr>
    </w:div>
    <w:div w:id="1465195976">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4ECE6B3-63F8-46EC-B4A2-F13F59DE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3851</Words>
  <Characters>21184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Alicia</cp:lastModifiedBy>
  <cp:revision>3</cp:revision>
  <dcterms:created xsi:type="dcterms:W3CDTF">2017-10-25T15:37:00Z</dcterms:created>
  <dcterms:modified xsi:type="dcterms:W3CDTF">2017-10-25T16:11:00Z</dcterms:modified>
</cp:coreProperties>
</file>